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C1BC" w14:textId="2BABFD8B" w:rsidR="004F733C" w:rsidRPr="00011F5E" w:rsidRDefault="004F733C" w:rsidP="004F733C">
      <w:pPr>
        <w:pStyle w:val="Title"/>
        <w:rPr>
          <w:color w:val="002060"/>
        </w:rPr>
      </w:pPr>
      <w:r w:rsidRPr="00011F5E">
        <w:rPr>
          <w:color w:val="002060"/>
        </w:rPr>
        <w:t>Mapping Value Chains</w:t>
      </w:r>
    </w:p>
    <w:p w14:paraId="10C03353" w14:textId="77777777" w:rsidR="004F733C" w:rsidRDefault="004F733C" w:rsidP="004F733C"/>
    <w:p w14:paraId="387DAB87" w14:textId="77777777" w:rsidR="004F733C" w:rsidRPr="00011F5E" w:rsidRDefault="004F733C" w:rsidP="004F733C">
      <w:pPr>
        <w:pStyle w:val="Heading1"/>
        <w:rPr>
          <w:rFonts w:asciiTheme="minorHAnsi" w:hAnsiTheme="minorHAnsi" w:cstheme="minorHAnsi"/>
        </w:rPr>
      </w:pPr>
      <w:r w:rsidRPr="00011F5E">
        <w:rPr>
          <w:rFonts w:asciiTheme="minorHAnsi" w:hAnsiTheme="minorHAnsi" w:cstheme="minorHAnsi"/>
        </w:rPr>
        <w:t>Definitions</w:t>
      </w:r>
    </w:p>
    <w:p w14:paraId="482A329C" w14:textId="77777777" w:rsidR="004F733C" w:rsidRPr="00011F5E" w:rsidRDefault="004F733C" w:rsidP="004F733C">
      <w:pPr>
        <w:rPr>
          <w:rFonts w:asciiTheme="minorHAnsi" w:hAnsiTheme="minorHAnsi" w:cstheme="minorHAnsi"/>
        </w:rPr>
      </w:pPr>
      <w:r w:rsidRPr="00011F5E">
        <w:rPr>
          <w:rFonts w:asciiTheme="minorHAnsi" w:hAnsiTheme="minorHAnsi" w:cstheme="minorHAnsi"/>
          <w:color w:val="9C6633"/>
          <w:sz w:val="28"/>
          <w:szCs w:val="28"/>
        </w:rPr>
        <w:t>Value Chain functions</w:t>
      </w:r>
      <w:r w:rsidRPr="00011F5E">
        <w:rPr>
          <w:rFonts w:asciiTheme="minorHAnsi" w:hAnsiTheme="minorHAnsi" w:cstheme="minorHAnsi"/>
        </w:rPr>
        <w:t xml:space="preserve"> are those things that have to happen for a successful demand-driven value chain.  There are transactional functions needed to deliver the product or service.  These might include: producing, value-adding, aggregating, etc.  Support functions include things like:  research, development, financing, training, certification, etc.  </w:t>
      </w:r>
    </w:p>
    <w:p w14:paraId="15E458FA" w14:textId="77777777" w:rsidR="004F733C" w:rsidRPr="00011F5E" w:rsidRDefault="004F733C" w:rsidP="004F733C">
      <w:pPr>
        <w:rPr>
          <w:rFonts w:asciiTheme="minorHAnsi" w:hAnsiTheme="minorHAnsi" w:cstheme="minorHAnsi"/>
          <w:color w:val="000000"/>
        </w:rPr>
      </w:pPr>
      <w:r w:rsidRPr="00011F5E">
        <w:rPr>
          <w:rFonts w:asciiTheme="minorHAnsi" w:hAnsiTheme="minorHAnsi" w:cstheme="minorHAnsi"/>
          <w:color w:val="9C6633"/>
          <w:sz w:val="28"/>
          <w:szCs w:val="28"/>
        </w:rPr>
        <w:t xml:space="preserve">Demand </w:t>
      </w:r>
      <w:r w:rsidRPr="00011F5E">
        <w:rPr>
          <w:rFonts w:asciiTheme="minorHAnsi" w:hAnsiTheme="minorHAnsi" w:cstheme="minorHAnsi"/>
          <w:color w:val="000000"/>
        </w:rPr>
        <w:t>includes who will buy the goods and services produced and why they buy the goods and/or services. What does the value chain offer that they cannot already get?</w:t>
      </w:r>
    </w:p>
    <w:p w14:paraId="74361B2D" w14:textId="77777777" w:rsidR="004F733C" w:rsidRPr="00011F5E" w:rsidRDefault="004F733C" w:rsidP="004F733C">
      <w:pPr>
        <w:rPr>
          <w:rFonts w:asciiTheme="minorHAnsi" w:hAnsiTheme="minorHAnsi" w:cstheme="minorHAnsi"/>
          <w:color w:val="000000"/>
        </w:rPr>
      </w:pPr>
      <w:r w:rsidRPr="00011F5E">
        <w:rPr>
          <w:rFonts w:asciiTheme="minorHAnsi" w:hAnsiTheme="minorHAnsi" w:cstheme="minorHAnsi"/>
          <w:color w:val="9C6633"/>
          <w:sz w:val="28"/>
          <w:szCs w:val="28"/>
        </w:rPr>
        <w:t>Transactional partners</w:t>
      </w:r>
      <w:r w:rsidRPr="00011F5E">
        <w:rPr>
          <w:rFonts w:asciiTheme="minorHAnsi" w:hAnsiTheme="minorHAnsi" w:cstheme="minorHAnsi"/>
          <w:color w:val="000000"/>
        </w:rPr>
        <w:t xml:space="preserve"> are those people, businesses, or organizations that play a direct role in sourcing, producing, distributing and consuming the product or service.  Transactional partners may include but are not limited to:</w:t>
      </w:r>
    </w:p>
    <w:p w14:paraId="5ABD7B91" w14:textId="77777777" w:rsidR="004F733C" w:rsidRPr="00011F5E" w:rsidRDefault="004F733C" w:rsidP="004F733C">
      <w:pPr>
        <w:pStyle w:val="ListParagraph"/>
        <w:numPr>
          <w:ilvl w:val="0"/>
          <w:numId w:val="2"/>
        </w:numPr>
        <w:rPr>
          <w:rFonts w:asciiTheme="minorHAnsi" w:hAnsiTheme="minorHAnsi" w:cstheme="minorHAnsi"/>
        </w:rPr>
      </w:pPr>
      <w:r w:rsidRPr="00011F5E">
        <w:rPr>
          <w:rFonts w:asciiTheme="minorHAnsi" w:hAnsiTheme="minorHAnsi" w:cstheme="minorHAnsi"/>
        </w:rPr>
        <w:t>Suppliers—Provide specific inputs to other Value Chain partners</w:t>
      </w:r>
    </w:p>
    <w:p w14:paraId="323A4B02" w14:textId="77777777" w:rsidR="004F733C" w:rsidRPr="00011F5E" w:rsidRDefault="004F733C" w:rsidP="004F733C">
      <w:pPr>
        <w:pStyle w:val="ListParagraph"/>
        <w:numPr>
          <w:ilvl w:val="0"/>
          <w:numId w:val="2"/>
        </w:numPr>
        <w:rPr>
          <w:rFonts w:asciiTheme="minorHAnsi" w:hAnsiTheme="minorHAnsi" w:cstheme="minorHAnsi"/>
        </w:rPr>
      </w:pPr>
      <w:r w:rsidRPr="00011F5E">
        <w:rPr>
          <w:rFonts w:asciiTheme="minorHAnsi" w:hAnsiTheme="minorHAnsi" w:cstheme="minorHAnsi"/>
        </w:rPr>
        <w:t>Producers—Create goods or services</w:t>
      </w:r>
    </w:p>
    <w:p w14:paraId="015C63B2" w14:textId="77777777" w:rsidR="004F733C" w:rsidRPr="00011F5E" w:rsidRDefault="004F733C" w:rsidP="004F733C">
      <w:pPr>
        <w:pStyle w:val="ListParagraph"/>
        <w:numPr>
          <w:ilvl w:val="0"/>
          <w:numId w:val="2"/>
        </w:numPr>
        <w:rPr>
          <w:rFonts w:asciiTheme="minorHAnsi" w:hAnsiTheme="minorHAnsi" w:cstheme="minorHAnsi"/>
        </w:rPr>
      </w:pPr>
      <w:r w:rsidRPr="00011F5E">
        <w:rPr>
          <w:rFonts w:asciiTheme="minorHAnsi" w:hAnsiTheme="minorHAnsi" w:cstheme="minorHAnsi"/>
        </w:rPr>
        <w:t>Aggregators—Bundle products or demand</w:t>
      </w:r>
    </w:p>
    <w:p w14:paraId="50696095" w14:textId="77777777" w:rsidR="004F733C" w:rsidRPr="00011F5E" w:rsidRDefault="004F733C" w:rsidP="004F733C">
      <w:pPr>
        <w:pStyle w:val="ListParagraph"/>
        <w:numPr>
          <w:ilvl w:val="0"/>
          <w:numId w:val="2"/>
        </w:numPr>
        <w:rPr>
          <w:rFonts w:asciiTheme="minorHAnsi" w:hAnsiTheme="minorHAnsi" w:cstheme="minorHAnsi"/>
        </w:rPr>
      </w:pPr>
      <w:r w:rsidRPr="00011F5E">
        <w:rPr>
          <w:rFonts w:asciiTheme="minorHAnsi" w:hAnsiTheme="minorHAnsi" w:cstheme="minorHAnsi"/>
        </w:rPr>
        <w:t>Distributers—Transport goods or services to retailers and consumers</w:t>
      </w:r>
    </w:p>
    <w:p w14:paraId="75AB0174" w14:textId="77777777" w:rsidR="004F733C" w:rsidRPr="00011F5E" w:rsidRDefault="004F733C" w:rsidP="004F733C">
      <w:pPr>
        <w:pStyle w:val="ListParagraph"/>
        <w:numPr>
          <w:ilvl w:val="0"/>
          <w:numId w:val="2"/>
        </w:numPr>
        <w:rPr>
          <w:rFonts w:asciiTheme="minorHAnsi" w:hAnsiTheme="minorHAnsi" w:cstheme="minorHAnsi"/>
        </w:rPr>
      </w:pPr>
      <w:r w:rsidRPr="00011F5E">
        <w:rPr>
          <w:rFonts w:asciiTheme="minorHAnsi" w:hAnsiTheme="minorHAnsi" w:cstheme="minorHAnsi"/>
        </w:rPr>
        <w:t>Wholesale Buyers—Purchase goods or services for resale</w:t>
      </w:r>
    </w:p>
    <w:p w14:paraId="3C63B5D4" w14:textId="77777777" w:rsidR="004F733C" w:rsidRPr="00011F5E" w:rsidRDefault="004F733C" w:rsidP="004F733C">
      <w:pPr>
        <w:pStyle w:val="ListParagraph"/>
        <w:numPr>
          <w:ilvl w:val="0"/>
          <w:numId w:val="2"/>
        </w:numPr>
        <w:rPr>
          <w:rFonts w:asciiTheme="minorHAnsi" w:hAnsiTheme="minorHAnsi" w:cstheme="minorHAnsi"/>
        </w:rPr>
      </w:pPr>
      <w:r w:rsidRPr="00011F5E">
        <w:rPr>
          <w:rFonts w:asciiTheme="minorHAnsi" w:hAnsiTheme="minorHAnsi" w:cstheme="minorHAnsi"/>
        </w:rPr>
        <w:t>Customers/Consumers—Purchase goods or services for direct use</w:t>
      </w:r>
    </w:p>
    <w:p w14:paraId="58435510" w14:textId="77777777" w:rsidR="004F733C" w:rsidRPr="00011F5E" w:rsidRDefault="004F733C" w:rsidP="004F733C">
      <w:pPr>
        <w:rPr>
          <w:rFonts w:asciiTheme="minorHAnsi" w:hAnsiTheme="minorHAnsi" w:cstheme="minorHAnsi"/>
        </w:rPr>
      </w:pPr>
      <w:r w:rsidRPr="00011F5E">
        <w:rPr>
          <w:rFonts w:asciiTheme="minorHAnsi" w:hAnsiTheme="minorHAnsi" w:cstheme="minorHAnsi"/>
          <w:color w:val="9C6633"/>
          <w:sz w:val="28"/>
          <w:szCs w:val="28"/>
        </w:rPr>
        <w:t>Support partners</w:t>
      </w:r>
      <w:r w:rsidRPr="00011F5E">
        <w:rPr>
          <w:rFonts w:asciiTheme="minorHAnsi" w:hAnsiTheme="minorHAnsi" w:cstheme="minorHAnsi"/>
        </w:rPr>
        <w:t xml:space="preserve"> are those people, businesses, or organizations that provide the infrastructure that helps the transactional partners obtain resources needed to produce their product and/or remove barriers to an effectively functioning value chain. Examples include: business and technical assistance programs, financing (philanthropic, debt and equity), policy and regulation, media, research, and capacity building.</w:t>
      </w:r>
    </w:p>
    <w:p w14:paraId="2A2338DB" w14:textId="77777777" w:rsidR="00DE4FFF" w:rsidRPr="00011F5E" w:rsidRDefault="004F733C" w:rsidP="004F733C">
      <w:pPr>
        <w:rPr>
          <w:rFonts w:asciiTheme="minorHAnsi" w:hAnsiTheme="minorHAnsi" w:cstheme="minorHAnsi"/>
        </w:rPr>
      </w:pPr>
      <w:r w:rsidRPr="00011F5E">
        <w:rPr>
          <w:rFonts w:asciiTheme="minorHAnsi" w:hAnsiTheme="minorHAnsi" w:cstheme="minorHAnsi"/>
          <w:color w:val="9C6633"/>
          <w:sz w:val="28"/>
          <w:szCs w:val="28"/>
        </w:rPr>
        <w:t xml:space="preserve">Investors </w:t>
      </w:r>
      <w:r w:rsidRPr="00011F5E">
        <w:rPr>
          <w:rFonts w:asciiTheme="minorHAnsi" w:hAnsiTheme="minorHAnsi" w:cstheme="minorHAnsi"/>
        </w:rPr>
        <w:t>are those people who want to see your value chain succeed because its success gives them something that matters to them. In addition to profits, that might include environmental benefits, new relationships, economic equity, reduced crime, impact on a place they care about, opportunity to make a positive difference, avoided costs of existing programs, etc. Investors may contribute money or time, expertise, equipment, etc.</w:t>
      </w:r>
    </w:p>
    <w:sectPr w:rsidR="00DE4FFF" w:rsidRPr="00011F5E" w:rsidSect="0049485E">
      <w:headerReference w:type="default" r:id="rId7"/>
      <w:footerReference w:type="default" r:id="rId8"/>
      <w:pgSz w:w="12240" w:h="15840"/>
      <w:pgMar w:top="1627"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3E65" w14:textId="77777777" w:rsidR="00DB0F3B" w:rsidRDefault="00DB0F3B" w:rsidP="0049485E">
      <w:pPr>
        <w:spacing w:after="0" w:line="240" w:lineRule="auto"/>
      </w:pPr>
      <w:r>
        <w:separator/>
      </w:r>
    </w:p>
  </w:endnote>
  <w:endnote w:type="continuationSeparator" w:id="0">
    <w:p w14:paraId="6EE5CE6A" w14:textId="77777777" w:rsidR="00DB0F3B" w:rsidRDefault="00DB0F3B" w:rsidP="0049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Sans">
    <w:panose1 w:val="020B06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F265" w14:textId="496228FA" w:rsidR="006007F2" w:rsidRDefault="008012E8" w:rsidP="00011F5E">
    <w:pPr>
      <w:pStyle w:val="Footer"/>
    </w:pPr>
    <w:r w:rsidRPr="00F27556">
      <w:rPr>
        <w:rFonts w:ascii="Verdana" w:hAnsi="Verdana" w:cs="Verdana"/>
        <w:noProof/>
        <w:color w:val="000000"/>
        <w:sz w:val="18"/>
        <w:szCs w:val="18"/>
      </w:rPr>
      <w:drawing>
        <wp:inline distT="0" distB="0" distL="0" distR="0" wp14:anchorId="55CAE492" wp14:editId="63AFA880">
          <wp:extent cx="1849605" cy="362358"/>
          <wp:effectExtent l="0" t="0" r="0" b="6350"/>
          <wp:docPr id="141584025" name="Picture 141584025" descr="A colorful logo with letters&#10;&#10;Description automatically generated with medium confidence">
            <a:extLst xmlns:a="http://schemas.openxmlformats.org/drawingml/2006/main">
              <a:ext uri="{FF2B5EF4-FFF2-40B4-BE49-F238E27FC236}">
                <a16:creationId xmlns:a16="http://schemas.microsoft.com/office/drawing/2014/main" id="{75F0BC5E-292F-0BAC-DE58-D131DFE2B1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4025" name="Picture 141584025" descr="A colorful logo with letters&#10;&#10;Description automatically generated with medium confidence">
                    <a:extLst>
                      <a:ext uri="{FF2B5EF4-FFF2-40B4-BE49-F238E27FC236}">
                        <a16:creationId xmlns:a16="http://schemas.microsoft.com/office/drawing/2014/main" id="{75F0BC5E-292F-0BAC-DE58-D131DFE2B15C}"/>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918249" cy="375806"/>
                  </a:xfrm>
                  <a:prstGeom prst="rect">
                    <a:avLst/>
                  </a:prstGeom>
                </pic:spPr>
              </pic:pic>
            </a:graphicData>
          </a:graphic>
        </wp:inline>
      </w:drawing>
    </w:r>
    <w:r w:rsidR="006007F2">
      <w:rPr>
        <w:rFonts w:ascii="Verdana" w:hAnsi="Verdana"/>
        <w:noProof/>
        <w:color w:val="BFBFBF" w:themeColor="background1" w:themeShade="BF"/>
        <w:sz w:val="16"/>
      </w:rPr>
      <mc:AlternateContent>
        <mc:Choice Requires="wps">
          <w:drawing>
            <wp:anchor distT="0" distB="0" distL="114300" distR="114300" simplePos="0" relativeHeight="251662336" behindDoc="0" locked="0" layoutInCell="1" allowOverlap="1" wp14:anchorId="4DBAE66D" wp14:editId="33A12DAE">
              <wp:simplePos x="0" y="0"/>
              <wp:positionH relativeFrom="column">
                <wp:align>center</wp:align>
              </wp:positionH>
              <wp:positionV relativeFrom="paragraph">
                <wp:posOffset>-281940</wp:posOffset>
              </wp:positionV>
              <wp:extent cx="5943600" cy="0"/>
              <wp:effectExtent l="12700" t="10160" r="25400" b="279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F01B5" id="_x0000_t32" coordsize="21600,21600" o:spt="32" o:oned="t" path="m,l21600,21600e" filled="f">
              <v:path arrowok="t" fillok="f" o:connecttype="none"/>
              <o:lock v:ext="edit" shapetype="t"/>
            </v:shapetype>
            <v:shape id="AutoShape 2" o:spid="_x0000_s1026" type="#_x0000_t32" style="position:absolute;margin-left:0;margin-top:-22.2pt;width:468pt;height:0;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" strokecolor="#bfbfbf [2412]"/>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EE92" w14:textId="77777777" w:rsidR="00DB0F3B" w:rsidRDefault="00DB0F3B" w:rsidP="0049485E">
      <w:pPr>
        <w:spacing w:after="0" w:line="240" w:lineRule="auto"/>
      </w:pPr>
      <w:r>
        <w:separator/>
      </w:r>
    </w:p>
  </w:footnote>
  <w:footnote w:type="continuationSeparator" w:id="0">
    <w:p w14:paraId="014D885C" w14:textId="77777777" w:rsidR="00DB0F3B" w:rsidRDefault="00DB0F3B" w:rsidP="0049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88E" w14:textId="44BA41EF" w:rsidR="006007F2" w:rsidRPr="002F5D59" w:rsidRDefault="006007F2" w:rsidP="0049485E">
    <w:pPr>
      <w:pStyle w:val="Header"/>
      <w:jc w:val="center"/>
      <w:rPr>
        <w:rFonts w:ascii="Verdana" w:hAnsi="Verdana"/>
        <w:b/>
        <w:color w:val="FFFFFF" w:themeColor="background1"/>
        <w:sz w:val="32"/>
        <w:szCs w:val="36"/>
      </w:rPr>
    </w:pPr>
  </w:p>
  <w:p w14:paraId="51B350DA" w14:textId="77777777" w:rsidR="006007F2" w:rsidRPr="002F5D59" w:rsidRDefault="006007F2" w:rsidP="0049485E">
    <w:pPr>
      <w:pStyle w:val="Header"/>
      <w:jc w:val="cent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7FA"/>
    <w:multiLevelType w:val="hybridMultilevel"/>
    <w:tmpl w:val="474A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307C9E"/>
    <w:multiLevelType w:val="hybridMultilevel"/>
    <w:tmpl w:val="20AE0796"/>
    <w:lvl w:ilvl="0" w:tplc="BE8A48D4">
      <w:start w:val="1"/>
      <w:numFmt w:val="bullet"/>
      <w:lvlText w:val=""/>
      <w:lvlJc w:val="left"/>
      <w:pPr>
        <w:ind w:left="720" w:hanging="360"/>
      </w:pPr>
      <w:rPr>
        <w:rFonts w:ascii="Symbol" w:hAnsi="Symbol" w:hint="default"/>
        <w:color w:val="BE8346"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450850">
    <w:abstractNumId w:val="0"/>
  </w:num>
  <w:num w:numId="2" w16cid:durableId="1804075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CF"/>
    <w:rsid w:val="00003BC4"/>
    <w:rsid w:val="00011F5E"/>
    <w:rsid w:val="00016267"/>
    <w:rsid w:val="00025DBD"/>
    <w:rsid w:val="00031270"/>
    <w:rsid w:val="00044735"/>
    <w:rsid w:val="000E436C"/>
    <w:rsid w:val="000F7E7A"/>
    <w:rsid w:val="001016FE"/>
    <w:rsid w:val="00162CCF"/>
    <w:rsid w:val="001724DD"/>
    <w:rsid w:val="0017674F"/>
    <w:rsid w:val="00194AB9"/>
    <w:rsid w:val="00287977"/>
    <w:rsid w:val="002C0749"/>
    <w:rsid w:val="003065ED"/>
    <w:rsid w:val="00312EF4"/>
    <w:rsid w:val="00341AA9"/>
    <w:rsid w:val="00344892"/>
    <w:rsid w:val="00371CFE"/>
    <w:rsid w:val="003B7EA4"/>
    <w:rsid w:val="003F0D88"/>
    <w:rsid w:val="0049485E"/>
    <w:rsid w:val="004F733C"/>
    <w:rsid w:val="00574E83"/>
    <w:rsid w:val="00586371"/>
    <w:rsid w:val="005953B9"/>
    <w:rsid w:val="005D1D7C"/>
    <w:rsid w:val="006007F2"/>
    <w:rsid w:val="006B021E"/>
    <w:rsid w:val="006C1712"/>
    <w:rsid w:val="006F2551"/>
    <w:rsid w:val="0070047C"/>
    <w:rsid w:val="00703E44"/>
    <w:rsid w:val="00797CF3"/>
    <w:rsid w:val="007C46D8"/>
    <w:rsid w:val="008012E8"/>
    <w:rsid w:val="00825B28"/>
    <w:rsid w:val="00831BB0"/>
    <w:rsid w:val="00843D17"/>
    <w:rsid w:val="0087412C"/>
    <w:rsid w:val="00894DDC"/>
    <w:rsid w:val="00896401"/>
    <w:rsid w:val="008B1890"/>
    <w:rsid w:val="00951DDA"/>
    <w:rsid w:val="00966D3C"/>
    <w:rsid w:val="009672E5"/>
    <w:rsid w:val="009A5D18"/>
    <w:rsid w:val="009E179E"/>
    <w:rsid w:val="009E7E6D"/>
    <w:rsid w:val="009F4DC8"/>
    <w:rsid w:val="00A800DD"/>
    <w:rsid w:val="00A916B0"/>
    <w:rsid w:val="00B44831"/>
    <w:rsid w:val="00BA53A8"/>
    <w:rsid w:val="00C12017"/>
    <w:rsid w:val="00C478A7"/>
    <w:rsid w:val="00CB5195"/>
    <w:rsid w:val="00D461D2"/>
    <w:rsid w:val="00D61762"/>
    <w:rsid w:val="00D930FE"/>
    <w:rsid w:val="00DA05BE"/>
    <w:rsid w:val="00DA6F04"/>
    <w:rsid w:val="00DB0F3B"/>
    <w:rsid w:val="00DB7FF3"/>
    <w:rsid w:val="00DE4FFF"/>
    <w:rsid w:val="00DF7026"/>
    <w:rsid w:val="00E1013C"/>
    <w:rsid w:val="00E33779"/>
    <w:rsid w:val="00E548C8"/>
    <w:rsid w:val="00EA0D22"/>
    <w:rsid w:val="00F754B6"/>
    <w:rsid w:val="00F96281"/>
    <w:rsid w:val="00FB7999"/>
    <w:rsid w:val="00FD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0FEAC"/>
  <w15:docId w15:val="{4949CEF5-4EB4-0346-81A2-FB3325DF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5E"/>
    <w:rPr>
      <w:rFonts w:ascii="Georgia" w:hAnsi="Georgia"/>
    </w:rPr>
  </w:style>
  <w:style w:type="paragraph" w:styleId="Heading1">
    <w:name w:val="heading 1"/>
    <w:basedOn w:val="Normal"/>
    <w:next w:val="Normal"/>
    <w:link w:val="Heading1Char"/>
    <w:uiPriority w:val="9"/>
    <w:qFormat/>
    <w:rsid w:val="00DB7FF3"/>
    <w:pPr>
      <w:keepNext/>
      <w:keepLines/>
      <w:spacing w:before="480" w:after="0" w:line="240" w:lineRule="auto"/>
      <w:outlineLvl w:val="0"/>
    </w:pPr>
    <w:rPr>
      <w:rFonts w:ascii="Arial" w:eastAsiaTheme="majorEastAsia" w:hAnsi="Arial" w:cs="Arial"/>
      <w:b/>
      <w:bCs/>
      <w:color w:val="9C6633"/>
      <w:sz w:val="28"/>
      <w:szCs w:val="28"/>
    </w:rPr>
  </w:style>
  <w:style w:type="paragraph" w:styleId="Heading2">
    <w:name w:val="heading 2"/>
    <w:basedOn w:val="Normal"/>
    <w:next w:val="Normal"/>
    <w:link w:val="Heading2Char"/>
    <w:uiPriority w:val="9"/>
    <w:unhideWhenUsed/>
    <w:qFormat/>
    <w:rsid w:val="00DB7FF3"/>
    <w:pPr>
      <w:keepNext/>
      <w:keepLines/>
      <w:spacing w:before="200" w:after="0" w:line="240" w:lineRule="auto"/>
      <w:outlineLvl w:val="1"/>
    </w:pPr>
    <w:rPr>
      <w:rFonts w:ascii="Arial" w:eastAsiaTheme="majorEastAsia" w:hAnsi="Arial" w:cs="Arial"/>
      <w:color w:val="9C663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heetHeadline">
    <w:name w:val="WorksheetHeadline"/>
    <w:basedOn w:val="Normal"/>
    <w:uiPriority w:val="99"/>
    <w:rsid w:val="00162CCF"/>
    <w:pPr>
      <w:suppressAutoHyphens/>
      <w:autoSpaceDE w:val="0"/>
      <w:autoSpaceDN w:val="0"/>
      <w:adjustRightInd w:val="0"/>
      <w:spacing w:after="90" w:line="288" w:lineRule="auto"/>
      <w:textAlignment w:val="center"/>
    </w:pPr>
    <w:rPr>
      <w:rFonts w:ascii="Verdana" w:hAnsi="Verdana" w:cs="Verdana"/>
      <w:color w:val="C86A17"/>
      <w:spacing w:val="5"/>
      <w:sz w:val="48"/>
      <w:szCs w:val="48"/>
    </w:rPr>
  </w:style>
  <w:style w:type="paragraph" w:customStyle="1" w:styleId="WorksheetText">
    <w:name w:val="WorksheetText"/>
    <w:basedOn w:val="Normal"/>
    <w:uiPriority w:val="99"/>
    <w:rsid w:val="00162CCF"/>
    <w:pPr>
      <w:autoSpaceDE w:val="0"/>
      <w:autoSpaceDN w:val="0"/>
      <w:adjustRightInd w:val="0"/>
      <w:spacing w:after="0" w:line="270" w:lineRule="atLeast"/>
      <w:textAlignment w:val="center"/>
    </w:pPr>
    <w:rPr>
      <w:rFonts w:cs="Georgia"/>
      <w:color w:val="000000"/>
    </w:rPr>
  </w:style>
  <w:style w:type="paragraph" w:customStyle="1" w:styleId="subhead">
    <w:name w:val="subhead"/>
    <w:basedOn w:val="WorksheetText"/>
    <w:uiPriority w:val="99"/>
    <w:rsid w:val="00162CCF"/>
    <w:pPr>
      <w:suppressAutoHyphens/>
      <w:spacing w:after="90"/>
    </w:pPr>
    <w:rPr>
      <w:rFonts w:ascii="Verdana" w:hAnsi="Verdana" w:cs="Verdana"/>
      <w:b/>
      <w:bCs/>
      <w:caps/>
      <w:color w:val="5C833B"/>
    </w:rPr>
  </w:style>
  <w:style w:type="paragraph" w:styleId="Title">
    <w:name w:val="Title"/>
    <w:basedOn w:val="Normal"/>
    <w:next w:val="Normal"/>
    <w:link w:val="TitleChar"/>
    <w:uiPriority w:val="10"/>
    <w:qFormat/>
    <w:rsid w:val="00DB7FF3"/>
    <w:pPr>
      <w:spacing w:after="240" w:line="240" w:lineRule="auto"/>
      <w:contextualSpacing/>
    </w:pPr>
    <w:rPr>
      <w:rFonts w:ascii="Arial" w:eastAsiaTheme="majorEastAsia" w:hAnsi="Arial" w:cs="Arial"/>
      <w:color w:val="9C6633"/>
      <w:spacing w:val="5"/>
      <w:kern w:val="28"/>
      <w:sz w:val="52"/>
      <w:szCs w:val="52"/>
    </w:rPr>
  </w:style>
  <w:style w:type="character" w:customStyle="1" w:styleId="TitleChar">
    <w:name w:val="Title Char"/>
    <w:basedOn w:val="DefaultParagraphFont"/>
    <w:link w:val="Title"/>
    <w:uiPriority w:val="10"/>
    <w:rsid w:val="00DB7FF3"/>
    <w:rPr>
      <w:rFonts w:ascii="Arial" w:eastAsiaTheme="majorEastAsia" w:hAnsi="Arial" w:cs="Arial"/>
      <w:color w:val="9C6633"/>
      <w:spacing w:val="5"/>
      <w:kern w:val="28"/>
      <w:sz w:val="52"/>
      <w:szCs w:val="52"/>
    </w:rPr>
  </w:style>
  <w:style w:type="character" w:customStyle="1" w:styleId="Heading1Char">
    <w:name w:val="Heading 1 Char"/>
    <w:basedOn w:val="DefaultParagraphFont"/>
    <w:link w:val="Heading1"/>
    <w:uiPriority w:val="9"/>
    <w:rsid w:val="00DB7FF3"/>
    <w:rPr>
      <w:rFonts w:ascii="Arial" w:eastAsiaTheme="majorEastAsia" w:hAnsi="Arial" w:cs="Arial"/>
      <w:b/>
      <w:bCs/>
      <w:color w:val="9C6633"/>
      <w:sz w:val="28"/>
      <w:szCs w:val="28"/>
    </w:rPr>
  </w:style>
  <w:style w:type="paragraph" w:styleId="NoSpacing">
    <w:name w:val="No Spacing"/>
    <w:uiPriority w:val="1"/>
    <w:qFormat/>
    <w:rsid w:val="00894DDC"/>
    <w:pPr>
      <w:spacing w:after="0" w:line="240" w:lineRule="auto"/>
    </w:pPr>
  </w:style>
  <w:style w:type="paragraph" w:styleId="Header">
    <w:name w:val="header"/>
    <w:basedOn w:val="Normal"/>
    <w:link w:val="HeaderChar"/>
    <w:uiPriority w:val="99"/>
    <w:unhideWhenUsed/>
    <w:rsid w:val="0049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85E"/>
    <w:rPr>
      <w:rFonts w:ascii="Georgia" w:hAnsi="Georgia"/>
    </w:rPr>
  </w:style>
  <w:style w:type="paragraph" w:styleId="Footer">
    <w:name w:val="footer"/>
    <w:basedOn w:val="Normal"/>
    <w:link w:val="FooterChar"/>
    <w:uiPriority w:val="99"/>
    <w:unhideWhenUsed/>
    <w:rsid w:val="0049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85E"/>
    <w:rPr>
      <w:rFonts w:ascii="Georgia" w:hAnsi="Georgia"/>
    </w:rPr>
  </w:style>
  <w:style w:type="character" w:customStyle="1" w:styleId="Heading2Char">
    <w:name w:val="Heading 2 Char"/>
    <w:basedOn w:val="DefaultParagraphFont"/>
    <w:link w:val="Heading2"/>
    <w:uiPriority w:val="9"/>
    <w:rsid w:val="00DB7FF3"/>
    <w:rPr>
      <w:rFonts w:ascii="Arial" w:eastAsiaTheme="majorEastAsia" w:hAnsi="Arial" w:cs="Arial"/>
      <w:color w:val="9C6633"/>
      <w:sz w:val="24"/>
      <w:szCs w:val="26"/>
    </w:rPr>
  </w:style>
  <w:style w:type="paragraph" w:customStyle="1" w:styleId="Text">
    <w:name w:val="Text"/>
    <w:basedOn w:val="Normal"/>
    <w:uiPriority w:val="99"/>
    <w:rsid w:val="006C1712"/>
    <w:pPr>
      <w:suppressAutoHyphens/>
      <w:autoSpaceDE w:val="0"/>
      <w:autoSpaceDN w:val="0"/>
      <w:adjustRightInd w:val="0"/>
      <w:spacing w:after="60" w:line="270" w:lineRule="atLeast"/>
      <w:jc w:val="both"/>
      <w:textAlignment w:val="center"/>
    </w:pPr>
    <w:rPr>
      <w:rFonts w:cs="Georgia"/>
      <w:color w:val="000000"/>
    </w:rPr>
  </w:style>
  <w:style w:type="character" w:customStyle="1" w:styleId="ListItemHandout">
    <w:name w:val="List Item Handout"/>
    <w:uiPriority w:val="99"/>
    <w:rsid w:val="006C1712"/>
    <w:rPr>
      <w:rFonts w:ascii="Arial" w:hAnsi="Arial" w:cs="Arial"/>
      <w:color w:val="9C6633"/>
      <w:sz w:val="28"/>
      <w:szCs w:val="28"/>
    </w:rPr>
  </w:style>
  <w:style w:type="paragraph" w:customStyle="1" w:styleId="WWTHandoutHeader">
    <w:name w:val="WWT Handout Header"/>
    <w:basedOn w:val="Normal"/>
    <w:uiPriority w:val="99"/>
    <w:rsid w:val="006C1712"/>
    <w:pPr>
      <w:autoSpaceDE w:val="0"/>
      <w:autoSpaceDN w:val="0"/>
      <w:adjustRightInd w:val="0"/>
      <w:spacing w:after="0" w:line="288" w:lineRule="auto"/>
      <w:textAlignment w:val="center"/>
    </w:pPr>
    <w:rPr>
      <w:rFonts w:ascii="Arial" w:hAnsi="Arial" w:cs="Arial"/>
      <w:color w:val="9C6633"/>
      <w:sz w:val="36"/>
      <w:szCs w:val="36"/>
    </w:rPr>
  </w:style>
  <w:style w:type="paragraph" w:customStyle="1" w:styleId="WWTHandoutNumberedList">
    <w:name w:val="WWT Handout Numbered List"/>
    <w:basedOn w:val="Normal"/>
    <w:uiPriority w:val="99"/>
    <w:rsid w:val="006C1712"/>
    <w:pPr>
      <w:tabs>
        <w:tab w:val="left" w:pos="720"/>
      </w:tabs>
      <w:suppressAutoHyphens/>
      <w:autoSpaceDE w:val="0"/>
      <w:autoSpaceDN w:val="0"/>
      <w:adjustRightInd w:val="0"/>
      <w:spacing w:after="60" w:line="270" w:lineRule="atLeast"/>
      <w:ind w:left="360" w:hanging="360"/>
      <w:textAlignment w:val="center"/>
    </w:pPr>
    <w:rPr>
      <w:rFonts w:cs="Georgia"/>
      <w:color w:val="000000"/>
    </w:rPr>
  </w:style>
  <w:style w:type="paragraph" w:styleId="BalloonText">
    <w:name w:val="Balloon Text"/>
    <w:basedOn w:val="Normal"/>
    <w:link w:val="BalloonTextChar"/>
    <w:uiPriority w:val="99"/>
    <w:semiHidden/>
    <w:unhideWhenUsed/>
    <w:rsid w:val="006C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12"/>
    <w:rPr>
      <w:rFonts w:ascii="Tahoma" w:hAnsi="Tahoma" w:cs="Tahoma"/>
      <w:sz w:val="16"/>
      <w:szCs w:val="16"/>
    </w:rPr>
  </w:style>
  <w:style w:type="paragraph" w:customStyle="1" w:styleId="WWTHandoutPageTitle">
    <w:name w:val="WWT Handout Page Title"/>
    <w:basedOn w:val="Normal"/>
    <w:uiPriority w:val="99"/>
    <w:rsid w:val="003065ED"/>
    <w:pPr>
      <w:suppressAutoHyphens/>
      <w:autoSpaceDE w:val="0"/>
      <w:autoSpaceDN w:val="0"/>
      <w:adjustRightInd w:val="0"/>
      <w:spacing w:after="0" w:line="288" w:lineRule="auto"/>
      <w:textAlignment w:val="center"/>
    </w:pPr>
    <w:rPr>
      <w:rFonts w:ascii="ProximaSans" w:hAnsi="ProximaSans" w:cs="ProximaSans"/>
      <w:i/>
      <w:iCs/>
      <w:color w:val="9C6633"/>
      <w:sz w:val="40"/>
      <w:szCs w:val="40"/>
    </w:rPr>
  </w:style>
  <w:style w:type="paragraph" w:customStyle="1" w:styleId="WWTBulletList">
    <w:name w:val="WWT Bullet List"/>
    <w:basedOn w:val="Text"/>
    <w:uiPriority w:val="99"/>
    <w:rsid w:val="004F733C"/>
    <w:pPr>
      <w:ind w:left="720" w:hanging="360"/>
    </w:pPr>
  </w:style>
  <w:style w:type="paragraph" w:styleId="ListParagraph">
    <w:name w:val="List Paragraph"/>
    <w:basedOn w:val="Normal"/>
    <w:uiPriority w:val="34"/>
    <w:qFormat/>
    <w:rsid w:val="004F7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W Bar and Font Colors">
      <a:dk1>
        <a:srgbClr val="575D82"/>
      </a:dk1>
      <a:lt1>
        <a:sysClr val="window" lastClr="FFFFFF"/>
      </a:lt1>
      <a:dk2>
        <a:srgbClr val="437C52"/>
      </a:dk2>
      <a:lt2>
        <a:srgbClr val="EEECE1"/>
      </a:lt2>
      <a:accent1>
        <a:srgbClr val="BE6768"/>
      </a:accent1>
      <a:accent2>
        <a:srgbClr val="BE8346"/>
      </a:accent2>
      <a:accent3>
        <a:srgbClr val="8AC0CB"/>
      </a:accent3>
      <a:accent4>
        <a:srgbClr val="6F9269"/>
      </a:accent4>
      <a:accent5>
        <a:srgbClr val="8668A9"/>
      </a:accent5>
      <a:accent6>
        <a:srgbClr val="CEB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Melissa Levy</cp:lastModifiedBy>
  <cp:revision>4</cp:revision>
  <dcterms:created xsi:type="dcterms:W3CDTF">2023-08-09T16:20:00Z</dcterms:created>
  <dcterms:modified xsi:type="dcterms:W3CDTF">2023-08-09T17:30:00Z</dcterms:modified>
</cp:coreProperties>
</file>