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svg="http://schemas.microsoft.com/office/drawing/2016/SVG/main" mc:Ignorable="w14 w15 w16se w16cid w16 w16cex w16sdtdh wp14">
  <w:body>
    <w:p w:rsidR="004F6546" w:rsidP="7568F8A7" w:rsidRDefault="18D39A7C" w14:paraId="55B8332D" w14:textId="744771F5">
      <w:pPr>
        <w:pStyle w:val="Normal"/>
        <w:spacing w:after="0"/>
        <w:jc w:val="center"/>
        <w:rPr>
          <w:noProof/>
        </w:rPr>
      </w:pPr>
      <w:r w:rsidR="0B2D282B">
        <w:drawing>
          <wp:inline wp14:editId="477BA5EF" wp14:anchorId="79AF8DB0">
            <wp:extent cx="2194359" cy="736025"/>
            <wp:effectExtent l="0" t="0" r="0" b="0"/>
            <wp:docPr id="1852316950" name="" title=""/>
            <wp:cNvGraphicFramePr>
              <a:graphicFrameLocks noChangeAspect="1"/>
            </wp:cNvGraphicFramePr>
            <a:graphic>
              <a:graphicData uri="http://schemas.openxmlformats.org/drawingml/2006/picture">
                <pic:pic>
                  <pic:nvPicPr>
                    <pic:cNvPr id="0" name=""/>
                    <pic:cNvPicPr/>
                  </pic:nvPicPr>
                  <pic:blipFill>
                    <a:blip r:embed="Rc066a124b09f4110">
                      <a:extLst>
                        <a:ext xmlns:a="http://schemas.openxmlformats.org/drawingml/2006/main" uri="{28A0092B-C50C-407E-A947-70E740481C1C}">
                          <a14:useLocalDpi val="0"/>
                        </a:ext>
                      </a:extLst>
                    </a:blip>
                    <a:stretch>
                      <a:fillRect/>
                    </a:stretch>
                  </pic:blipFill>
                  <pic:spPr>
                    <a:xfrm>
                      <a:off x="0" y="0"/>
                      <a:ext cx="2194359" cy="736025"/>
                    </a:xfrm>
                    <a:prstGeom prst="rect">
                      <a:avLst/>
                    </a:prstGeom>
                  </pic:spPr>
                </pic:pic>
              </a:graphicData>
            </a:graphic>
          </wp:inline>
        </w:drawing>
      </w:r>
      <w:r w:rsidRPr="7568F8A7" w:rsidR="1D35A74E">
        <w:rPr>
          <w:noProof/>
        </w:rPr>
        <w:t xml:space="preserve">      </w:t>
      </w:r>
      <w:r w:rsidRPr="7568F8A7" w:rsidR="1D35A74E">
        <w:rPr>
          <w:noProof/>
        </w:rPr>
        <w:t xml:space="preserve">                                            </w:t>
      </w:r>
      <w:r w:rsidR="6DF1F3BD">
        <w:drawing>
          <wp:inline wp14:editId="05DB19FB" wp14:anchorId="39DAFCC3">
            <wp:extent cx="2660369" cy="583565"/>
            <wp:effectExtent l="0" t="0" r="0" b="635"/>
            <wp:docPr id="3" name="Graphic 3" title=""/>
            <wp:cNvGraphicFramePr>
              <a:graphicFrameLocks noChangeAspect="1"/>
            </wp:cNvGraphicFramePr>
            <a:graphic>
              <a:graphicData uri="http://schemas.openxmlformats.org/drawingml/2006/picture">
                <pic:pic>
                  <pic:nvPicPr>
                    <pic:cNvPr id="0" name="Graphic 3"/>
                    <pic:cNvPicPr/>
                  </pic:nvPicPr>
                  <pic:blipFill>
                    <a:blip r:embed="R94ad493953b64e30">
                      <a:extLst xmlns:a="http://schemas.openxmlformats.org/drawingml/2006/main">
                        <a:ext uri="{28A0092B-C50C-407E-A947-70E740481C1C}">
                          <a14:useLocalDpi xmlns:a14="http://schemas.microsoft.com/office/drawing/2010/main" val="0"/>
                        </a:ext>
                        <a:ext uri="{96DAC541-7B7A-43D3-8B79-37D633B846F1}">
                          <asvg:svgBlip xmlns:asvg="http://schemas.microsoft.com/office/drawing/2016/SVG/main" xmlns:r="http://schemas.openxmlformats.org/officeDocument/2006/relationships" r:embed="rId10"/>
                        </a:ext>
                      </a:extLst>
                    </a:blip>
                    <a:stretch>
                      <a:fillRect/>
                    </a:stretch>
                  </pic:blipFill>
                  <pic:spPr>
                    <a:xfrm rot="0" flipH="0" flipV="0">
                      <a:off x="0" y="0"/>
                      <a:ext cx="2660369" cy="583565"/>
                    </a:xfrm>
                    <a:prstGeom prst="rect">
                      <a:avLst/>
                    </a:prstGeom>
                  </pic:spPr>
                </pic:pic>
              </a:graphicData>
            </a:graphic>
          </wp:inline>
        </w:drawing>
      </w:r>
    </w:p>
    <w:p w:rsidR="00F1653A" w:rsidP="00C2178D" w:rsidRDefault="00F1653A" w14:paraId="4BE3BAFF" w14:textId="77777777">
      <w:pPr>
        <w:spacing w:after="0"/>
        <w:jc w:val="center"/>
        <w:rPr>
          <w:rFonts w:cstheme="minorHAnsi"/>
          <w:b/>
          <w:bCs/>
          <w:sz w:val="28"/>
          <w:szCs w:val="28"/>
        </w:rPr>
      </w:pPr>
    </w:p>
    <w:p w:rsidR="00F1653A" w:rsidP="5B3E2091" w:rsidRDefault="5B3E2091" w14:paraId="0D8F8F78" w14:textId="77456A1E">
      <w:pPr>
        <w:spacing w:after="0"/>
        <w:jc w:val="center"/>
        <w:rPr>
          <w:b/>
          <w:bCs/>
          <w:sz w:val="28"/>
          <w:szCs w:val="28"/>
        </w:rPr>
      </w:pPr>
      <w:r w:rsidRPr="5B3E2091">
        <w:rPr>
          <w:b/>
          <w:bCs/>
          <w:sz w:val="28"/>
          <w:szCs w:val="28"/>
        </w:rPr>
        <w:t>Increase FY2</w:t>
      </w:r>
      <w:r w:rsidR="00883BE4">
        <w:rPr>
          <w:b/>
          <w:bCs/>
          <w:sz w:val="28"/>
          <w:szCs w:val="28"/>
        </w:rPr>
        <w:t>4</w:t>
      </w:r>
      <w:r w:rsidRPr="5B3E2091">
        <w:rPr>
          <w:b/>
          <w:bCs/>
          <w:sz w:val="28"/>
          <w:szCs w:val="28"/>
        </w:rPr>
        <w:t xml:space="preserve"> ARC Local Development District Administrative Funding</w:t>
      </w:r>
    </w:p>
    <w:p w:rsidRPr="00F1653A" w:rsidR="00E759EB" w:rsidP="7568F8A7" w:rsidRDefault="00A40C08" w14:paraId="5EFF1FBA" w14:textId="6729D840">
      <w:pPr>
        <w:spacing w:after="0"/>
        <w:rPr>
          <w:i w:val="1"/>
          <w:iCs w:val="1"/>
          <w:sz w:val="28"/>
          <w:szCs w:val="28"/>
        </w:rPr>
      </w:pPr>
      <w:r w:rsidR="6B49FB12">
        <w:rPr/>
        <w:t>Although</w:t>
      </w:r>
      <w:r w:rsidR="316646A3">
        <w:rPr/>
        <w:t xml:space="preserve"> </w:t>
      </w:r>
      <w:r w:rsidR="56A66B0B">
        <w:rPr/>
        <w:t xml:space="preserve">annual </w:t>
      </w:r>
      <w:r w:rsidR="316646A3">
        <w:rPr/>
        <w:t>funding</w:t>
      </w:r>
      <w:r w:rsidR="76D4AD48">
        <w:rPr/>
        <w:t xml:space="preserve"> for the Appalachian Regional Commission (ARC)</w:t>
      </w:r>
      <w:r w:rsidR="316646A3">
        <w:rPr/>
        <w:t xml:space="preserve"> has </w:t>
      </w:r>
      <w:r w:rsidR="6B49FB12">
        <w:rPr/>
        <w:t xml:space="preserve">increased significantly over the </w:t>
      </w:r>
      <w:r w:rsidR="6B49FB12">
        <w:rPr/>
        <w:t xml:space="preserve">last </w:t>
      </w:r>
      <w:r w:rsidR="41BF1CB0">
        <w:rPr/>
        <w:t>five</w:t>
      </w:r>
      <w:r w:rsidR="6B49FB12">
        <w:rPr/>
        <w:t xml:space="preserve"> years</w:t>
      </w:r>
      <w:r w:rsidR="6B49FB12">
        <w:rPr/>
        <w:t>, critical support funding for</w:t>
      </w:r>
      <w:r w:rsidR="31236525">
        <w:rPr/>
        <w:t xml:space="preserve"> </w:t>
      </w:r>
      <w:r w:rsidRPr="7568F8A7" w:rsidR="316646A3">
        <w:rPr>
          <w:b w:val="1"/>
          <w:bCs w:val="1"/>
        </w:rPr>
        <w:t>Local Development District</w:t>
      </w:r>
      <w:r w:rsidRPr="7568F8A7" w:rsidR="7E17E778">
        <w:rPr>
          <w:b w:val="1"/>
          <w:bCs w:val="1"/>
        </w:rPr>
        <w:t>s</w:t>
      </w:r>
      <w:r w:rsidRPr="7568F8A7" w:rsidR="316646A3">
        <w:rPr>
          <w:b w:val="1"/>
          <w:bCs w:val="1"/>
        </w:rPr>
        <w:t xml:space="preserve"> (LDD</w:t>
      </w:r>
      <w:r w:rsidRPr="7568F8A7" w:rsidR="3D61A048">
        <w:rPr>
          <w:b w:val="1"/>
          <w:bCs w:val="1"/>
        </w:rPr>
        <w:t>s</w:t>
      </w:r>
      <w:r w:rsidRPr="7568F8A7" w:rsidR="316646A3">
        <w:rPr>
          <w:b w:val="1"/>
          <w:bCs w:val="1"/>
        </w:rPr>
        <w:t>)</w:t>
      </w:r>
      <w:r w:rsidR="316646A3">
        <w:rPr/>
        <w:t xml:space="preserve"> </w:t>
      </w:r>
      <w:r w:rsidR="6B49FB12">
        <w:rPr/>
        <w:t>h</w:t>
      </w:r>
      <w:r w:rsidR="56A66B0B">
        <w:rPr/>
        <w:t>a</w:t>
      </w:r>
      <w:r w:rsidR="18DF27A7">
        <w:rPr/>
        <w:t>s</w:t>
      </w:r>
      <w:r w:rsidR="05DD5541">
        <w:rPr/>
        <w:t xml:space="preserve"> not kept</w:t>
      </w:r>
      <w:r w:rsidR="31236525">
        <w:rPr/>
        <w:t xml:space="preserve"> pace, </w:t>
      </w:r>
      <w:r w:rsidR="002F02AC">
        <w:rPr/>
        <w:t>placing a heav</w:t>
      </w:r>
      <w:r w:rsidR="56A66B0B">
        <w:rPr/>
        <w:t xml:space="preserve">y </w:t>
      </w:r>
      <w:r w:rsidR="20D8B533">
        <w:rPr/>
        <w:t xml:space="preserve">administrative </w:t>
      </w:r>
      <w:r w:rsidR="002F02AC">
        <w:rPr/>
        <w:t xml:space="preserve">burden on the </w:t>
      </w:r>
      <w:r w:rsidR="20D8B533">
        <w:rPr/>
        <w:t>same</w:t>
      </w:r>
      <w:r w:rsidR="002F02AC">
        <w:rPr/>
        <w:t xml:space="preserve"> communities</w:t>
      </w:r>
      <w:r w:rsidR="35D8E7E8">
        <w:rPr/>
        <w:t xml:space="preserve"> that</w:t>
      </w:r>
      <w:r w:rsidR="002F02AC">
        <w:rPr/>
        <w:t xml:space="preserve"> ARC is designed to support. </w:t>
      </w:r>
      <w:r w:rsidR="6E7A759D">
        <w:rPr/>
        <w:t>The Bipartisan Infrastructure Law also provide</w:t>
      </w:r>
      <w:r w:rsidR="2D9FEB06">
        <w:rPr/>
        <w:t xml:space="preserve">d </w:t>
      </w:r>
      <w:r w:rsidR="6E7A759D">
        <w:rPr/>
        <w:t>a record $1 billion for ARC</w:t>
      </w:r>
      <w:r w:rsidR="172D2DE9">
        <w:rPr/>
        <w:t xml:space="preserve"> </w:t>
      </w:r>
      <w:r w:rsidR="6E7A759D">
        <w:rPr/>
        <w:t>but did not provide any designated LDD administrative support funding.</w:t>
      </w:r>
    </w:p>
    <w:tbl>
      <w:tblPr>
        <w:tblStyle w:val="TableGrid"/>
        <w:tblpPr w:leftFromText="180" w:rightFromText="180" w:vertAnchor="text" w:horzAnchor="page" w:tblpX="711" w:tblpY="196"/>
        <w:tblW w:w="10412" w:type="dxa"/>
        <w:tblLook w:val="04A0" w:firstRow="1" w:lastRow="0" w:firstColumn="1" w:lastColumn="0" w:noHBand="0" w:noVBand="1"/>
      </w:tblPr>
      <w:tblGrid>
        <w:gridCol w:w="2340"/>
        <w:gridCol w:w="1125"/>
        <w:gridCol w:w="1204"/>
        <w:gridCol w:w="1272"/>
        <w:gridCol w:w="1257"/>
        <w:gridCol w:w="1549"/>
        <w:gridCol w:w="1665"/>
      </w:tblGrid>
      <w:tr w:rsidR="0006396C" w:rsidTr="7568F8A7" w14:paraId="2B9FD2CE" w14:textId="5D13F6F8">
        <w:trPr>
          <w:trHeight w:val="154"/>
        </w:trPr>
        <w:tc>
          <w:tcPr>
            <w:tcW w:w="2340" w:type="dxa"/>
            <w:tcMar/>
          </w:tcPr>
          <w:p w:rsidR="0006396C" w:rsidP="00C2178D" w:rsidRDefault="0006396C" w14:paraId="74DD70E7" w14:textId="5345C9EF">
            <w:r w:rsidRPr="0006396C">
              <w:t>(Budget figures are in millions)</w:t>
            </w:r>
          </w:p>
        </w:tc>
        <w:tc>
          <w:tcPr>
            <w:tcW w:w="1125" w:type="dxa"/>
            <w:tcMar/>
          </w:tcPr>
          <w:p w:rsidRPr="000D7B8E" w:rsidR="0006396C" w:rsidP="00C2178D" w:rsidRDefault="0006396C" w14:paraId="57FD686D" w14:textId="24919523">
            <w:pPr>
              <w:rPr>
                <w:b/>
                <w:bCs/>
              </w:rPr>
            </w:pPr>
            <w:r w:rsidRPr="000D7B8E">
              <w:rPr>
                <w:b/>
                <w:bCs/>
              </w:rPr>
              <w:t>FY 2019</w:t>
            </w:r>
          </w:p>
        </w:tc>
        <w:tc>
          <w:tcPr>
            <w:tcW w:w="1204" w:type="dxa"/>
            <w:tcMar/>
          </w:tcPr>
          <w:p w:rsidRPr="000D7B8E" w:rsidR="0006396C" w:rsidP="00C2178D" w:rsidRDefault="0006396C" w14:paraId="2F9BF557" w14:textId="00133104">
            <w:pPr>
              <w:rPr>
                <w:b/>
                <w:bCs/>
              </w:rPr>
            </w:pPr>
            <w:r w:rsidRPr="000D7B8E">
              <w:rPr>
                <w:b/>
                <w:bCs/>
              </w:rPr>
              <w:t>FY 2020</w:t>
            </w:r>
          </w:p>
        </w:tc>
        <w:tc>
          <w:tcPr>
            <w:tcW w:w="1272" w:type="dxa"/>
            <w:tcMar/>
          </w:tcPr>
          <w:p w:rsidRPr="000D7B8E" w:rsidR="0006396C" w:rsidP="00C2178D" w:rsidRDefault="0006396C" w14:paraId="0D1FD8FC" w14:textId="7B4C1CFF">
            <w:pPr>
              <w:rPr>
                <w:b/>
                <w:bCs/>
              </w:rPr>
            </w:pPr>
            <w:r w:rsidRPr="000D7B8E">
              <w:rPr>
                <w:b/>
                <w:bCs/>
              </w:rPr>
              <w:t>FY 2021</w:t>
            </w:r>
          </w:p>
        </w:tc>
        <w:tc>
          <w:tcPr>
            <w:tcW w:w="1257" w:type="dxa"/>
            <w:tcMar/>
          </w:tcPr>
          <w:p w:rsidRPr="001C37F2" w:rsidR="0006396C" w:rsidP="62EB0432" w:rsidRDefault="0006396C" w14:paraId="19D3EEE0" w14:textId="435C8DE5">
            <w:r w:rsidRPr="62EB0432">
              <w:rPr>
                <w:b/>
                <w:bCs/>
              </w:rPr>
              <w:t>FY 2022</w:t>
            </w:r>
          </w:p>
        </w:tc>
        <w:tc>
          <w:tcPr>
            <w:tcW w:w="1549" w:type="dxa"/>
            <w:tcMar/>
          </w:tcPr>
          <w:p w:rsidRPr="0060795A" w:rsidR="0006396C" w:rsidP="00C2178D" w:rsidRDefault="0006396C" w14:paraId="727FCB1C" w14:textId="46C1A53F">
            <w:pPr>
              <w:rPr>
                <w:b/>
                <w:bCs/>
              </w:rPr>
            </w:pPr>
            <w:r>
              <w:rPr>
                <w:b/>
                <w:bCs/>
              </w:rPr>
              <w:t>FY 2023</w:t>
            </w:r>
          </w:p>
        </w:tc>
        <w:tc>
          <w:tcPr>
            <w:tcW w:w="1665" w:type="dxa"/>
            <w:tcMar/>
          </w:tcPr>
          <w:p w:rsidR="0006396C" w:rsidP="00C2178D" w:rsidRDefault="0006396C" w14:paraId="30EE68BD" w14:textId="3E8A73F2">
            <w:pPr>
              <w:rPr>
                <w:b/>
                <w:bCs/>
              </w:rPr>
            </w:pPr>
            <w:r>
              <w:rPr>
                <w:b/>
                <w:bCs/>
              </w:rPr>
              <w:t>FY 2024</w:t>
            </w:r>
          </w:p>
          <w:p w:rsidR="0006396C" w:rsidP="00C2178D" w:rsidRDefault="0006396C" w14:paraId="61F6782F" w14:textId="19C8BE1F">
            <w:pPr>
              <w:rPr>
                <w:b/>
                <w:bCs/>
              </w:rPr>
            </w:pPr>
            <w:r>
              <w:rPr>
                <w:b/>
                <w:bCs/>
              </w:rPr>
              <w:t>NADO request</w:t>
            </w:r>
          </w:p>
        </w:tc>
      </w:tr>
      <w:tr w:rsidR="0006396C" w:rsidTr="7568F8A7" w14:paraId="52AC0135" w14:textId="476D9916">
        <w:trPr>
          <w:trHeight w:val="301"/>
        </w:trPr>
        <w:tc>
          <w:tcPr>
            <w:tcW w:w="2340" w:type="dxa"/>
            <w:tcMar/>
          </w:tcPr>
          <w:p w:rsidRPr="000D7B8E" w:rsidR="0006396C" w:rsidP="00C2178D" w:rsidRDefault="0006396C" w14:paraId="2D66F663" w14:textId="6C2FC826">
            <w:pPr>
              <w:rPr>
                <w:b/>
                <w:bCs/>
              </w:rPr>
            </w:pPr>
            <w:r w:rsidRPr="000D7B8E">
              <w:rPr>
                <w:b/>
                <w:bCs/>
              </w:rPr>
              <w:t>ARC Total</w:t>
            </w:r>
            <w:r>
              <w:rPr>
                <w:b/>
                <w:bCs/>
              </w:rPr>
              <w:t xml:space="preserve"> Appropriation</w:t>
            </w:r>
          </w:p>
        </w:tc>
        <w:tc>
          <w:tcPr>
            <w:tcW w:w="1125" w:type="dxa"/>
            <w:tcMar/>
          </w:tcPr>
          <w:p w:rsidR="0006396C" w:rsidP="00C2178D" w:rsidRDefault="0006396C" w14:paraId="43A689A3" w14:textId="5B97A87E">
            <w:r>
              <w:t xml:space="preserve">$165 </w:t>
            </w:r>
          </w:p>
        </w:tc>
        <w:tc>
          <w:tcPr>
            <w:tcW w:w="1204" w:type="dxa"/>
            <w:tcMar/>
          </w:tcPr>
          <w:p w:rsidR="0006396C" w:rsidP="00C2178D" w:rsidRDefault="0006396C" w14:paraId="66FB0FB9" w14:textId="6427E1CF">
            <w:r>
              <w:t xml:space="preserve">$175 </w:t>
            </w:r>
          </w:p>
        </w:tc>
        <w:tc>
          <w:tcPr>
            <w:tcW w:w="1272" w:type="dxa"/>
            <w:shd w:val="clear" w:color="auto" w:fill="auto"/>
            <w:tcMar/>
          </w:tcPr>
          <w:p w:rsidRPr="0060795A" w:rsidR="0006396C" w:rsidP="00C2178D" w:rsidRDefault="0006396C" w14:paraId="4897206C" w14:textId="123A8BAE">
            <w:r w:rsidRPr="0060795A">
              <w:t xml:space="preserve">$180 </w:t>
            </w:r>
          </w:p>
        </w:tc>
        <w:tc>
          <w:tcPr>
            <w:tcW w:w="1257" w:type="dxa"/>
            <w:shd w:val="clear" w:color="auto" w:fill="auto"/>
            <w:tcMar/>
          </w:tcPr>
          <w:p w:rsidRPr="0060795A" w:rsidR="0006396C" w:rsidP="00C2178D" w:rsidRDefault="0006396C" w14:paraId="050ED0DF" w14:textId="50BC6C1F">
            <w:r>
              <w:t>$195</w:t>
            </w:r>
          </w:p>
          <w:p w:rsidRPr="0060795A" w:rsidR="0006396C" w:rsidP="00C2178D" w:rsidRDefault="0006396C" w14:paraId="68C39E82" w14:textId="6B0D4A1B"/>
        </w:tc>
        <w:tc>
          <w:tcPr>
            <w:tcW w:w="1549" w:type="dxa"/>
            <w:tcMar/>
          </w:tcPr>
          <w:p w:rsidR="0006396C" w:rsidP="00C2178D" w:rsidRDefault="0006396C" w14:paraId="33A4C1CF" w14:textId="131D2387">
            <w:r>
              <w:t>$200</w:t>
            </w:r>
          </w:p>
        </w:tc>
        <w:tc>
          <w:tcPr>
            <w:tcW w:w="1665" w:type="dxa"/>
            <w:tcMar/>
          </w:tcPr>
          <w:p w:rsidR="0006396C" w:rsidP="00C2178D" w:rsidRDefault="0006396C" w14:paraId="5296BE0D" w14:textId="77777777"/>
        </w:tc>
      </w:tr>
      <w:tr w:rsidR="0006396C" w:rsidTr="7568F8A7" w14:paraId="3B35E711" w14:textId="3C75C27B">
        <w:trPr>
          <w:trHeight w:val="301"/>
        </w:trPr>
        <w:tc>
          <w:tcPr>
            <w:tcW w:w="2340" w:type="dxa"/>
            <w:tcMar/>
          </w:tcPr>
          <w:p w:rsidRPr="000D7B8E" w:rsidR="0006396C" w:rsidP="0006396C" w:rsidRDefault="0006396C" w14:paraId="6232266F" w14:textId="372C7072">
            <w:pPr>
              <w:rPr>
                <w:b/>
                <w:bCs/>
              </w:rPr>
            </w:pPr>
            <w:r>
              <w:rPr>
                <w:b/>
                <w:bCs/>
              </w:rPr>
              <w:t>ARC</w:t>
            </w:r>
            <w:r w:rsidRPr="000D7B8E">
              <w:rPr>
                <w:b/>
                <w:bCs/>
              </w:rPr>
              <w:t xml:space="preserve"> </w:t>
            </w:r>
            <w:r>
              <w:rPr>
                <w:b/>
                <w:bCs/>
              </w:rPr>
              <w:t>LDD Admin Funding</w:t>
            </w:r>
          </w:p>
        </w:tc>
        <w:tc>
          <w:tcPr>
            <w:tcW w:w="1125" w:type="dxa"/>
            <w:shd w:val="clear" w:color="auto" w:fill="FFFF00"/>
            <w:tcMar/>
          </w:tcPr>
          <w:p w:rsidR="0006396C" w:rsidP="0006396C" w:rsidRDefault="0006396C" w14:paraId="535368BE" w14:textId="40C54ABB">
            <w:r>
              <w:t>$6.2</w:t>
            </w:r>
          </w:p>
        </w:tc>
        <w:tc>
          <w:tcPr>
            <w:tcW w:w="1204" w:type="dxa"/>
            <w:shd w:val="clear" w:color="auto" w:fill="FFFF00"/>
            <w:tcMar/>
          </w:tcPr>
          <w:p w:rsidR="0006396C" w:rsidP="0006396C" w:rsidRDefault="0006396C" w14:paraId="41E61A0A" w14:textId="6BD0C9DD">
            <w:r>
              <w:t xml:space="preserve">$6.2 </w:t>
            </w:r>
          </w:p>
        </w:tc>
        <w:tc>
          <w:tcPr>
            <w:tcW w:w="1272" w:type="dxa"/>
            <w:shd w:val="clear" w:color="auto" w:fill="FFFF00"/>
            <w:tcMar/>
          </w:tcPr>
          <w:p w:rsidRPr="005B5EE1" w:rsidR="0006396C" w:rsidP="0006396C" w:rsidRDefault="0006396C" w14:paraId="3381C361" w14:textId="43DD0CA2">
            <w:pPr>
              <w:rPr>
                <w:highlight w:val="yellow"/>
              </w:rPr>
            </w:pPr>
            <w:r w:rsidRPr="00B431C6">
              <w:t xml:space="preserve">$6.2 </w:t>
            </w:r>
          </w:p>
        </w:tc>
        <w:tc>
          <w:tcPr>
            <w:tcW w:w="1257" w:type="dxa"/>
            <w:shd w:val="clear" w:color="auto" w:fill="FFFF00"/>
            <w:tcMar/>
          </w:tcPr>
          <w:p w:rsidR="0006396C" w:rsidP="0006396C" w:rsidRDefault="0006396C" w14:paraId="14314099" w14:textId="77E0DAFA">
            <w:r>
              <w:t xml:space="preserve">$8 </w:t>
            </w:r>
          </w:p>
        </w:tc>
        <w:tc>
          <w:tcPr>
            <w:tcW w:w="1549" w:type="dxa"/>
            <w:shd w:val="clear" w:color="auto" w:fill="FFFF00"/>
            <w:tcMar/>
            <w:vAlign w:val="top"/>
          </w:tcPr>
          <w:p w:rsidRPr="0006396C" w:rsidR="0006396C" w:rsidP="29CC7ECC" w:rsidRDefault="0006396C" w14:paraId="4087F7B0" w14:textId="188E11D0" w14:noSpellErr="1">
            <w:pPr>
              <w:jc w:val="left"/>
              <w:rPr>
                <w:highlight w:val="yellow"/>
              </w:rPr>
            </w:pPr>
            <w:r w:rsidRPr="29CC7ECC" w:rsidR="29CC7ECC">
              <w:rPr>
                <w:highlight w:val="yellow"/>
              </w:rPr>
              <w:t>$8</w:t>
            </w:r>
          </w:p>
        </w:tc>
        <w:tc>
          <w:tcPr>
            <w:tcW w:w="1665" w:type="dxa"/>
            <w:shd w:val="clear" w:color="auto" w:fill="E59CA4" w:themeFill="accent2" w:themeFillTint="66"/>
            <w:tcMar/>
            <w:vAlign w:val="top"/>
          </w:tcPr>
          <w:p w:rsidRPr="13707FB1" w:rsidR="0006396C" w:rsidP="29CC7ECC" w:rsidRDefault="0006396C" w14:paraId="0CB2B676" w14:textId="3A9D4E56">
            <w:pPr>
              <w:jc w:val="left"/>
              <w:rPr>
                <w:b w:val="1"/>
                <w:bCs w:val="1"/>
              </w:rPr>
            </w:pPr>
            <w:r w:rsidRPr="29CC7ECC" w:rsidR="29CC7ECC">
              <w:rPr>
                <w:b w:val="1"/>
                <w:bCs w:val="1"/>
              </w:rPr>
              <w:t>$18 million</w:t>
            </w:r>
          </w:p>
        </w:tc>
      </w:tr>
    </w:tbl>
    <w:p w:rsidR="5B3E2091" w:rsidP="7568F8A7" w:rsidRDefault="5B3E2091" w14:paraId="73585F8C" w14:textId="56A8EF39">
      <w:pPr>
        <w:pStyle w:val="Normal"/>
        <w:spacing w:after="0"/>
        <w:jc w:val="center"/>
        <w:rPr>
          <w:b w:val="1"/>
          <w:bCs w:val="1"/>
          <w:i w:val="1"/>
          <w:iCs w:val="1"/>
          <w:color w:val="C00000"/>
          <w:sz w:val="28"/>
          <w:szCs w:val="28"/>
        </w:rPr>
      </w:pPr>
      <w:r w:rsidRPr="7568F8A7" w:rsidR="552CD399">
        <w:rPr>
          <w:b w:val="1"/>
          <w:bCs w:val="1"/>
          <w:i w:val="1"/>
          <w:iCs w:val="1"/>
          <w:color w:val="C00000"/>
          <w:sz w:val="28"/>
          <w:szCs w:val="28"/>
        </w:rPr>
        <w:t>Action needed: Congress should increase FY24 Energy and Water appropriations funding for ARC L</w:t>
      </w:r>
      <w:r w:rsidRPr="7568F8A7" w:rsidR="1E7F25B3">
        <w:rPr>
          <w:b w:val="1"/>
          <w:bCs w:val="1"/>
          <w:i w:val="1"/>
          <w:iCs w:val="1"/>
          <w:color w:val="C00000"/>
          <w:sz w:val="28"/>
          <w:szCs w:val="28"/>
        </w:rPr>
        <w:t xml:space="preserve">ocal Development Districts </w:t>
      </w:r>
      <w:r w:rsidRPr="7568F8A7" w:rsidR="552CD399">
        <w:rPr>
          <w:b w:val="1"/>
          <w:bCs w:val="1"/>
          <w:i w:val="1"/>
          <w:iCs w:val="1"/>
          <w:color w:val="C00000"/>
          <w:sz w:val="28"/>
          <w:szCs w:val="28"/>
        </w:rPr>
        <w:t>to $18 million.</w:t>
      </w:r>
    </w:p>
    <w:p w:rsidR="7568F8A7" w:rsidP="7568F8A7" w:rsidRDefault="7568F8A7" w14:paraId="38067297" w14:textId="3EF20917">
      <w:pPr>
        <w:pStyle w:val="Normal"/>
        <w:spacing w:after="0"/>
        <w:rPr>
          <w:b w:val="1"/>
          <w:bCs w:val="1"/>
          <w:sz w:val="28"/>
          <w:szCs w:val="28"/>
        </w:rPr>
      </w:pPr>
    </w:p>
    <w:p w:rsidR="0FAC38A8" w:rsidP="7568F8A7" w:rsidRDefault="0FAC38A8" w14:paraId="7BDB2B1B" w14:textId="690E0486">
      <w:pPr>
        <w:spacing w:after="0"/>
        <w:rPr>
          <w:b w:val="1"/>
          <w:bCs w:val="1"/>
          <w:sz w:val="28"/>
          <w:szCs w:val="28"/>
        </w:rPr>
      </w:pPr>
      <w:r w:rsidRPr="7568F8A7" w:rsidR="0FAC38A8">
        <w:rPr>
          <w:b w:val="1"/>
          <w:bCs w:val="1"/>
          <w:sz w:val="28"/>
          <w:szCs w:val="28"/>
        </w:rPr>
        <w:t xml:space="preserve">How Much Funding </w:t>
      </w:r>
      <w:r w:rsidRPr="7568F8A7" w:rsidR="3AFF9C29">
        <w:rPr>
          <w:b w:val="1"/>
          <w:bCs w:val="1"/>
          <w:sz w:val="28"/>
          <w:szCs w:val="28"/>
        </w:rPr>
        <w:t>is Provided</w:t>
      </w:r>
      <w:r w:rsidRPr="7568F8A7" w:rsidR="0FAC38A8">
        <w:rPr>
          <w:b w:val="1"/>
          <w:bCs w:val="1"/>
          <w:sz w:val="28"/>
          <w:szCs w:val="28"/>
        </w:rPr>
        <w:t xml:space="preserve"> to L</w:t>
      </w:r>
      <w:r w:rsidRPr="7568F8A7" w:rsidR="068D86B0">
        <w:rPr>
          <w:b w:val="1"/>
          <w:bCs w:val="1"/>
          <w:sz w:val="28"/>
          <w:szCs w:val="28"/>
        </w:rPr>
        <w:t>ocal Development Districts?</w:t>
      </w:r>
    </w:p>
    <w:p w:rsidR="54E5BBB2" w:rsidP="7568F8A7" w:rsidRDefault="54E5BBB2" w14:paraId="26895A4F" w14:textId="1FDD06C8">
      <w:pPr>
        <w:spacing w:after="0"/>
        <w:rPr>
          <w:b w:val="0"/>
          <w:bCs w:val="0"/>
        </w:rPr>
      </w:pPr>
      <w:r w:rsidR="54E5BBB2">
        <w:rPr/>
        <w:t>Until recently</w:t>
      </w:r>
      <w:r w:rsidR="0FAC38A8">
        <w:rPr/>
        <w:t>,</w:t>
      </w:r>
      <w:r w:rsidR="4105B12A">
        <w:rPr/>
        <w:t xml:space="preserve"> the a</w:t>
      </w:r>
      <w:r w:rsidR="2B5F2270">
        <w:rPr/>
        <w:t>ppropriated funding level for</w:t>
      </w:r>
      <w:r w:rsidR="4105B12A">
        <w:rPr/>
        <w:t xml:space="preserve"> L</w:t>
      </w:r>
      <w:r w:rsidR="7EA1DC00">
        <w:rPr/>
        <w:t>ocal Development Districts (LDDs)</w:t>
      </w:r>
      <w:r w:rsidR="4105B12A">
        <w:rPr/>
        <w:t xml:space="preserve"> had remained stagnant at</w:t>
      </w:r>
      <w:r w:rsidR="0FAC38A8">
        <w:rPr>
          <w:b w:val="0"/>
          <w:bCs w:val="0"/>
        </w:rPr>
        <w:t xml:space="preserve"> </w:t>
      </w:r>
      <w:r w:rsidR="0FAC38A8">
        <w:rPr>
          <w:b w:val="0"/>
          <w:bCs w:val="0"/>
        </w:rPr>
        <w:t>$6.2 million</w:t>
      </w:r>
      <w:r w:rsidR="1B5201AA">
        <w:rPr>
          <w:b w:val="0"/>
          <w:bCs w:val="0"/>
        </w:rPr>
        <w:t xml:space="preserve"> for many years</w:t>
      </w:r>
      <w:r w:rsidR="7D526402">
        <w:rPr>
          <w:b w:val="0"/>
          <w:bCs w:val="0"/>
        </w:rPr>
        <w:t>.</w:t>
      </w:r>
      <w:r w:rsidRPr="7568F8A7" w:rsidR="7D526402">
        <w:rPr>
          <w:b w:val="1"/>
          <w:bCs w:val="1"/>
        </w:rPr>
        <w:t xml:space="preserve"> </w:t>
      </w:r>
      <w:r w:rsidR="526447E8">
        <w:rPr/>
        <w:t xml:space="preserve">In FY22, Congress took an important step </w:t>
      </w:r>
      <w:r w:rsidR="5E7EDA84">
        <w:rPr/>
        <w:t xml:space="preserve">by </w:t>
      </w:r>
      <w:r w:rsidR="526447E8">
        <w:rPr/>
        <w:t xml:space="preserve">increasing this level to </w:t>
      </w:r>
      <w:r w:rsidRPr="7568F8A7" w:rsidR="526447E8">
        <w:rPr>
          <w:b w:val="1"/>
          <w:bCs w:val="1"/>
        </w:rPr>
        <w:t>$8 million</w:t>
      </w:r>
      <w:r w:rsidRPr="7568F8A7" w:rsidR="08F13E7D">
        <w:rPr>
          <w:b w:val="1"/>
          <w:bCs w:val="1"/>
        </w:rPr>
        <w:t xml:space="preserve"> </w:t>
      </w:r>
      <w:r w:rsidR="08F13E7D">
        <w:rPr>
          <w:b w:val="0"/>
          <w:bCs w:val="0"/>
        </w:rPr>
        <w:t>for both FY22 and FY23</w:t>
      </w:r>
      <w:r w:rsidR="253A681D">
        <w:rPr>
          <w:b w:val="0"/>
          <w:bCs w:val="0"/>
        </w:rPr>
        <w:t xml:space="preserve">. </w:t>
      </w:r>
      <w:r w:rsidR="00935947">
        <w:rPr>
          <w:b w:val="0"/>
          <w:bCs w:val="0"/>
        </w:rPr>
        <w:t>The LDDs are</w:t>
      </w:r>
      <w:r w:rsidR="253A681D">
        <w:rPr>
          <w:b w:val="0"/>
          <w:bCs w:val="0"/>
        </w:rPr>
        <w:t xml:space="preserve"> </w:t>
      </w:r>
      <w:r w:rsidR="6E05EB67">
        <w:rPr>
          <w:b w:val="0"/>
          <w:bCs w:val="0"/>
        </w:rPr>
        <w:t xml:space="preserve">very </w:t>
      </w:r>
      <w:r w:rsidR="253A681D">
        <w:rPr>
          <w:b w:val="0"/>
          <w:bCs w:val="0"/>
        </w:rPr>
        <w:t xml:space="preserve">grateful for this increase. </w:t>
      </w:r>
      <w:r w:rsidR="7327081D">
        <w:rPr>
          <w:b w:val="0"/>
          <w:bCs w:val="0"/>
        </w:rPr>
        <w:t xml:space="preserve"> </w:t>
      </w:r>
      <w:r w:rsidR="715F3569">
        <w:rPr>
          <w:b w:val="0"/>
          <w:bCs w:val="0"/>
        </w:rPr>
        <w:t>Nevertheless, the ARC’s overall appropriation has continued to receive substantial increases</w:t>
      </w:r>
      <w:r w:rsidR="628423AA">
        <w:rPr>
          <w:b w:val="0"/>
          <w:bCs w:val="0"/>
        </w:rPr>
        <w:t xml:space="preserve">, </w:t>
      </w:r>
      <w:r w:rsidR="715F3569">
        <w:rPr>
          <w:b w:val="0"/>
          <w:bCs w:val="0"/>
        </w:rPr>
        <w:t>while support for LDD</w:t>
      </w:r>
      <w:r w:rsidR="5F1858ED">
        <w:rPr>
          <w:b w:val="0"/>
          <w:bCs w:val="0"/>
        </w:rPr>
        <w:t>s</w:t>
      </w:r>
      <w:r w:rsidR="715F3569">
        <w:rPr>
          <w:b w:val="0"/>
          <w:bCs w:val="0"/>
        </w:rPr>
        <w:t xml:space="preserve"> has remained relatively flat. This </w:t>
      </w:r>
      <w:r w:rsidR="481B3ACB">
        <w:rPr>
          <w:b w:val="0"/>
          <w:bCs w:val="0"/>
        </w:rPr>
        <w:t xml:space="preserve">was only </w:t>
      </w:r>
      <w:r w:rsidR="715F3569">
        <w:rPr>
          <w:b w:val="0"/>
          <w:bCs w:val="0"/>
        </w:rPr>
        <w:t>further exacerbated by the landmark $1 billion for ARC included in the Bipartisan Infrastructure Law, which did not include any direct support funding for LDDs</w:t>
      </w:r>
      <w:r w:rsidRPr="7568F8A7" w:rsidR="715F3569">
        <w:rPr>
          <w:i w:val="1"/>
          <w:iCs w:val="1"/>
        </w:rPr>
        <w:t>.</w:t>
      </w:r>
      <w:r w:rsidR="715F3569">
        <w:rPr/>
        <w:t xml:space="preserve">  </w:t>
      </w:r>
    </w:p>
    <w:p w:rsidR="7568F8A7" w:rsidP="7568F8A7" w:rsidRDefault="7568F8A7" w14:paraId="402CFEFF" w14:textId="0E5ED759">
      <w:pPr>
        <w:pStyle w:val="Normal"/>
        <w:spacing w:after="0"/>
      </w:pPr>
    </w:p>
    <w:p w:rsidR="04086933" w:rsidP="7568F8A7" w:rsidRDefault="04086933" w14:paraId="3E37A68B" w14:textId="595D2E6D">
      <w:pPr>
        <w:pStyle w:val="Normal"/>
        <w:spacing w:after="0"/>
        <w:rPr>
          <w:rFonts w:ascii="Calibri" w:hAnsi="Calibri" w:eastAsia="Calibri" w:cs="Calibri"/>
          <w:noProof w:val="0"/>
          <w:sz w:val="22"/>
          <w:szCs w:val="22"/>
          <w:lang w:val="en-US"/>
        </w:rPr>
      </w:pPr>
      <w:r w:rsidR="04086933">
        <w:rPr/>
        <w:t>Divided among the 74 LDDs</w:t>
      </w:r>
      <w:r w:rsidR="1FD39B8A">
        <w:rPr/>
        <w:t xml:space="preserve"> within the ARC region</w:t>
      </w:r>
      <w:r w:rsidR="04086933">
        <w:rPr/>
        <w:t xml:space="preserve">, the current level of </w:t>
      </w:r>
      <w:r w:rsidRPr="7568F8A7" w:rsidR="04086933">
        <w:rPr>
          <w:b w:val="1"/>
          <w:bCs w:val="1"/>
        </w:rPr>
        <w:t>$8 million</w:t>
      </w:r>
      <w:r w:rsidR="04086933">
        <w:rPr/>
        <w:t xml:space="preserve"> correlates to approximately </w:t>
      </w:r>
      <w:r w:rsidRPr="7568F8A7" w:rsidR="04086933">
        <w:rPr>
          <w:b w:val="1"/>
          <w:bCs w:val="1"/>
        </w:rPr>
        <w:t>$108,000 per</w:t>
      </w:r>
      <w:r w:rsidRPr="7568F8A7" w:rsidR="308F0E5D">
        <w:rPr>
          <w:b w:val="1"/>
          <w:bCs w:val="1"/>
        </w:rPr>
        <w:t xml:space="preserve"> </w:t>
      </w:r>
      <w:r w:rsidRPr="7568F8A7" w:rsidR="0FAC38A8">
        <w:rPr>
          <w:b w:val="1"/>
          <w:bCs w:val="1"/>
        </w:rPr>
        <w:t>LDD</w:t>
      </w:r>
      <w:r w:rsidRPr="7568F8A7">
        <w:rPr>
          <w:rStyle w:val="FootnoteReference"/>
          <w:b w:val="1"/>
          <w:bCs w:val="1"/>
        </w:rPr>
        <w:footnoteReference w:id="14896"/>
      </w:r>
      <w:r w:rsidR="0FAC38A8">
        <w:rPr/>
        <w:t xml:space="preserve">. </w:t>
      </w:r>
      <w:r w:rsidR="75890310">
        <w:rPr/>
        <w:t>In most communities, this</w:t>
      </w:r>
      <w:r w:rsidR="75D7575B">
        <w:rPr/>
        <w:t xml:space="preserve"> </w:t>
      </w:r>
      <w:r w:rsidR="75D7575B">
        <w:rPr/>
        <w:t>funding</w:t>
      </w:r>
      <w:r w:rsidR="426F1B94">
        <w:rPr/>
        <w:t xml:space="preserve"> level of $108,000 is</w:t>
      </w:r>
      <w:r w:rsidR="42EB5138">
        <w:rPr/>
        <w:t xml:space="preserve"> rarely enough to fund more than </w:t>
      </w:r>
      <w:r w:rsidRPr="7568F8A7" w:rsidR="42EB5138">
        <w:rPr>
          <w:b w:val="1"/>
          <w:bCs w:val="1"/>
        </w:rPr>
        <w:t>one full-time staff member.</w:t>
      </w:r>
      <w:r w:rsidRPr="7568F8A7" w:rsidR="2A3C99E7">
        <w:rPr>
          <w:b w:val="1"/>
          <w:bCs w:val="1"/>
        </w:rPr>
        <w:t xml:space="preserve"> </w:t>
      </w:r>
      <w:r w:rsidRPr="7568F8A7" w:rsidR="2A3C99E7">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Most LDDs cover numerous counties, cities, and towns, so one staff person covering such a large region is already stretched very thin.</w:t>
      </w:r>
      <w:r w:rsidRPr="7568F8A7" w:rsidR="749C9B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Furthermore, </w:t>
      </w:r>
      <w:proofErr w:type="gramStart"/>
      <w:r w:rsidRPr="7568F8A7" w:rsidR="749C9B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in order </w:t>
      </w:r>
      <w:r w:rsidRPr="7568F8A7" w:rsidR="603808B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for</w:t>
      </w:r>
      <w:proofErr w:type="gramEnd"/>
      <w:r w:rsidRPr="7568F8A7" w:rsidR="603808B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7568F8A7" w:rsidR="7D077136">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each LDD</w:t>
      </w:r>
      <w:r w:rsidRPr="7568F8A7" w:rsidR="603808B9">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organization to</w:t>
      </w:r>
      <w:r w:rsidRPr="7568F8A7" w:rsidR="749C9B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receive their</w:t>
      </w:r>
      <w:r w:rsidRPr="7568F8A7" w:rsidR="61E6B941">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w:t>
      </w:r>
      <w:r w:rsidRPr="7568F8A7" w:rsidR="749C9B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funding distribution, </w:t>
      </w:r>
      <w:r w:rsidRPr="7568F8A7" w:rsidR="3F8A7B52">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the LDD</w:t>
      </w:r>
      <w:r w:rsidRPr="7568F8A7" w:rsidR="749C9B7A">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en-US"/>
        </w:rPr>
        <w:t xml:space="preserve"> must provide matching funds.</w:t>
      </w:r>
    </w:p>
    <w:p w:rsidR="7568F8A7" w:rsidP="7568F8A7" w:rsidRDefault="7568F8A7" w14:paraId="7C83BA31" w14:textId="162A5D5F">
      <w:pPr>
        <w:pStyle w:val="Normal"/>
        <w:spacing w:after="0"/>
      </w:pPr>
    </w:p>
    <w:p w:rsidR="4F9191D9" w:rsidP="7568F8A7" w:rsidRDefault="4F9191D9" w14:paraId="6B029DBC" w14:textId="646C4510">
      <w:pPr>
        <w:pStyle w:val="Normal"/>
        <w:spacing w:after="0"/>
        <w:rPr>
          <w:b w:val="1"/>
          <w:bCs w:val="1"/>
          <w:sz w:val="28"/>
          <w:szCs w:val="28"/>
        </w:rPr>
      </w:pPr>
      <w:r w:rsidRPr="7568F8A7" w:rsidR="4F9191D9">
        <w:rPr>
          <w:b w:val="1"/>
          <w:bCs w:val="1"/>
          <w:sz w:val="28"/>
          <w:szCs w:val="28"/>
        </w:rPr>
        <w:t>Congressional Action Needed</w:t>
      </w:r>
    </w:p>
    <w:p w:rsidR="0FE76066" w:rsidP="7568F8A7" w:rsidRDefault="0FE76066" w14:paraId="64589EBC" w14:textId="07332E60">
      <w:pPr>
        <w:pStyle w:val="Normal"/>
        <w:spacing w:after="0"/>
        <w:rPr>
          <w:b w:val="1"/>
          <w:bCs w:val="1"/>
        </w:rPr>
      </w:pPr>
      <w:r w:rsidR="0FE76066">
        <w:rPr>
          <w:b w:val="0"/>
          <w:bCs w:val="0"/>
        </w:rPr>
        <w:t>In FY24, NADO and DDAA encourage Congress to appropriate</w:t>
      </w:r>
      <w:r w:rsidRPr="7568F8A7" w:rsidR="0FE76066">
        <w:rPr>
          <w:b w:val="1"/>
          <w:bCs w:val="1"/>
        </w:rPr>
        <w:t xml:space="preserve"> </w:t>
      </w:r>
      <w:r w:rsidRPr="7568F8A7" w:rsidR="0FE76066">
        <w:rPr>
          <w:b w:val="1"/>
          <w:bCs w:val="1"/>
          <w:u w:val="single"/>
        </w:rPr>
        <w:t>$18 million for ARC Local Development District administrative funding</w:t>
      </w:r>
      <w:r w:rsidRPr="7568F8A7" w:rsidR="0FE76066">
        <w:rPr>
          <w:b w:val="1"/>
          <w:bCs w:val="1"/>
        </w:rPr>
        <w:t xml:space="preserve"> </w:t>
      </w:r>
      <w:r w:rsidR="0FE76066">
        <w:rPr/>
        <w:t>to allow LDDs to add additional staff capacity to assist in the administration and implementation of increasingly larger and more complex ARC investments.</w:t>
      </w:r>
    </w:p>
    <w:p w:rsidR="7568F8A7" w:rsidP="7568F8A7" w:rsidRDefault="7568F8A7" w14:paraId="145F1939" w14:textId="25E20A4F">
      <w:pPr>
        <w:pStyle w:val="Normal"/>
        <w:spacing w:after="0"/>
        <w:rPr>
          <w:b w:val="0"/>
          <w:bCs w:val="0"/>
          <w:sz w:val="36"/>
          <w:szCs w:val="36"/>
        </w:rPr>
      </w:pPr>
    </w:p>
    <w:p w:rsidR="0FE76066" w:rsidP="7568F8A7" w:rsidRDefault="0FE76066" w14:paraId="1F4594D3" w14:textId="17B9D372">
      <w:pPr>
        <w:pStyle w:val="Normal"/>
        <w:spacing w:after="0"/>
        <w:rPr>
          <w:b w:val="1"/>
          <w:bCs w:val="1"/>
          <w:sz w:val="28"/>
          <w:szCs w:val="28"/>
        </w:rPr>
      </w:pPr>
      <w:r w:rsidRPr="7568F8A7" w:rsidR="0FE76066">
        <w:rPr>
          <w:b w:val="1"/>
          <w:bCs w:val="1"/>
          <w:sz w:val="28"/>
          <w:szCs w:val="28"/>
        </w:rPr>
        <w:t>Why are Local Development Districts Important?</w:t>
      </w:r>
    </w:p>
    <w:p w:rsidR="0FE76066" w:rsidP="7568F8A7" w:rsidRDefault="0FE76066" w14:paraId="04C20160" w14:textId="03102B28">
      <w:pPr>
        <w:pStyle w:val="Normal"/>
        <w:bidi w:val="0"/>
        <w:spacing w:before="0" w:beforeAutospacing="off" w:after="0" w:afterAutospacing="off" w:line="259" w:lineRule="auto"/>
        <w:ind w:left="0" w:right="0"/>
        <w:jc w:val="left"/>
      </w:pPr>
      <w:r w:rsidR="0FE76066">
        <w:rPr/>
        <w:t>Both ARC, at the federal level -- and local communities, at the regional level -- rely upon LDDs, because:</w:t>
      </w:r>
    </w:p>
    <w:p w:rsidR="0FE76066" w:rsidP="7568F8A7" w:rsidRDefault="0FE76066" w14:paraId="60DF333C" w14:textId="272CD978">
      <w:pPr>
        <w:pStyle w:val="ListParagraph"/>
        <w:numPr>
          <w:ilvl w:val="0"/>
          <w:numId w:val="4"/>
        </w:numPr>
        <w:bidi w:val="0"/>
        <w:spacing w:before="0" w:beforeAutospacing="off" w:after="0" w:afterAutospacing="off" w:line="259" w:lineRule="auto"/>
        <w:ind w:right="0"/>
        <w:jc w:val="left"/>
        <w:rPr/>
      </w:pPr>
      <w:r w:rsidR="0FE76066">
        <w:rPr/>
        <w:t xml:space="preserve">LDDs help other local stakeholders apply for ARC </w:t>
      </w:r>
      <w:r w:rsidR="48450EA9">
        <w:rPr/>
        <w:t>grants</w:t>
      </w:r>
    </w:p>
    <w:p w:rsidR="78418A37" w:rsidP="7568F8A7" w:rsidRDefault="78418A37" w14:paraId="48AA5F7B" w14:textId="137DB548">
      <w:pPr>
        <w:pStyle w:val="ListParagraph"/>
        <w:numPr>
          <w:ilvl w:val="0"/>
          <w:numId w:val="4"/>
        </w:numPr>
        <w:bidi w:val="0"/>
        <w:spacing w:before="0" w:beforeAutospacing="off" w:after="0" w:afterAutospacing="off" w:line="259" w:lineRule="auto"/>
        <w:ind w:right="0"/>
        <w:jc w:val="left"/>
        <w:rPr/>
      </w:pPr>
      <w:r w:rsidR="78418A37">
        <w:rPr/>
        <w:t>LDDs administer ARC project funding and assist with project implementation</w:t>
      </w:r>
    </w:p>
    <w:p w:rsidR="48450EA9" w:rsidP="7568F8A7" w:rsidRDefault="48450EA9" w14:paraId="6E10C46D" w14:textId="516D5084">
      <w:pPr>
        <w:pStyle w:val="ListParagraph"/>
        <w:numPr>
          <w:ilvl w:val="0"/>
          <w:numId w:val="4"/>
        </w:numPr>
        <w:bidi w:val="0"/>
        <w:spacing w:before="0" w:beforeAutospacing="off" w:after="0" w:afterAutospacing="off" w:line="259" w:lineRule="auto"/>
        <w:ind w:right="0"/>
        <w:jc w:val="left"/>
        <w:rPr/>
      </w:pPr>
      <w:r w:rsidR="48450EA9">
        <w:rPr/>
        <w:t xml:space="preserve">LDDs help local ARC grantees steward the funding they receive properly </w:t>
      </w:r>
    </w:p>
    <w:p w:rsidR="48450EA9" w:rsidP="7568F8A7" w:rsidRDefault="48450EA9" w14:paraId="6FAEF288" w14:textId="52A6A0A8">
      <w:pPr>
        <w:pStyle w:val="ListParagraph"/>
        <w:numPr>
          <w:ilvl w:val="0"/>
          <w:numId w:val="4"/>
        </w:numPr>
        <w:bidi w:val="0"/>
        <w:spacing w:before="0" w:beforeAutospacing="off" w:after="0" w:afterAutospacing="off" w:line="259" w:lineRule="auto"/>
        <w:ind w:right="0"/>
        <w:jc w:val="left"/>
        <w:rPr/>
      </w:pPr>
      <w:r w:rsidR="48450EA9">
        <w:rPr/>
        <w:t xml:space="preserve">LDDs lead and leverage local partnerships and help identify local projects that are eligible for ARC funding </w:t>
      </w:r>
    </w:p>
    <w:p w:rsidR="7568F8A7" w:rsidP="7568F8A7" w:rsidRDefault="7568F8A7" w14:paraId="14996B06" w14:textId="600CA3EA">
      <w:pPr>
        <w:pStyle w:val="Normal"/>
        <w:spacing w:after="0"/>
      </w:pPr>
    </w:p>
    <w:p w:rsidR="7568F8A7" w:rsidP="7568F8A7" w:rsidRDefault="7568F8A7" w14:paraId="64A07A27" w14:textId="0803369B">
      <w:pPr>
        <w:pStyle w:val="Normal"/>
        <w:spacing w:after="0"/>
      </w:pPr>
    </w:p>
    <w:p w:rsidR="7568F8A7" w:rsidP="7568F8A7" w:rsidRDefault="7568F8A7" w14:paraId="6A80D3C9" w14:textId="2FCADB8E">
      <w:pPr>
        <w:pStyle w:val="Normal"/>
        <w:spacing w:after="0"/>
      </w:pPr>
    </w:p>
    <w:p w:rsidRPr="00180FBD" w:rsidR="001C37F2" w:rsidP="001C37F2" w:rsidRDefault="001C37F2" w14:paraId="2DEC2240" w14:textId="77777777">
      <w:pPr>
        <w:spacing w:after="0"/>
        <w:rPr>
          <w:b/>
          <w:bCs/>
          <w:sz w:val="24"/>
          <w:szCs w:val="24"/>
        </w:rPr>
      </w:pPr>
      <w:r w:rsidRPr="00180FBD">
        <w:rPr>
          <w:b/>
          <w:bCs/>
          <w:sz w:val="28"/>
          <w:szCs w:val="28"/>
        </w:rPr>
        <w:t>Overview: The Appalachian Regional Commission (ARC)</w:t>
      </w:r>
    </w:p>
    <w:p w:rsidRPr="00C2178D" w:rsidR="001C37F2" w:rsidP="001C37F2" w:rsidRDefault="001C37F2" w14:paraId="56EACA6A" w14:textId="26E2DF92">
      <w:pPr>
        <w:spacing w:after="0"/>
      </w:pPr>
      <w:r w:rsidR="29CC7ECC">
        <w:rPr/>
        <w:t xml:space="preserve">Established by an act of Congress in 1965, the Appalachian Regional Commission (ARC) is an economic development partnership agency of the federal government and 13 states. The ARC is led by the Governors of the Appalachian states and by a Presidentially-appointed Federal Co-Chair. Every year, Congress appropriates funding for ARC and its programs, administered among its 13 member states: Alabama, Georgia, Kentucky, Maryland, Mississippi, New York, North Carolina, Ohio, Pennsylvania, South Carolina, Tennessee, and Virginia, and West Virginia. ARC serves 423 counties and facilitates economic and community development, with an emphasis on mitigating economic distress. ARC invests in a variety of priorities including workforce development, critical infrastructure projects including water infrastructure, sewer systems and broadband, safe and efficient highway systems, and entrepreneurial support and capital market development. </w:t>
      </w:r>
    </w:p>
    <w:p w:rsidR="001C37F2" w:rsidP="001C37F2" w:rsidRDefault="001C37F2" w14:paraId="51B35939" w14:textId="77777777">
      <w:pPr>
        <w:spacing w:after="0"/>
      </w:pPr>
    </w:p>
    <w:p w:rsidR="00CC2397" w:rsidP="001C37F2" w:rsidRDefault="001C37F2" w14:paraId="1A61EF9F" w14:textId="77777777">
      <w:pPr>
        <w:spacing w:after="0"/>
        <w:rPr>
          <w:b/>
          <w:bCs/>
          <w:sz w:val="28"/>
          <w:szCs w:val="28"/>
        </w:rPr>
      </w:pPr>
      <w:r w:rsidRPr="00180FBD">
        <w:rPr>
          <w:b/>
          <w:bCs/>
          <w:sz w:val="28"/>
          <w:szCs w:val="28"/>
        </w:rPr>
        <w:t>Overview: Local Development Districts</w:t>
      </w:r>
      <w:r>
        <w:rPr>
          <w:b/>
          <w:bCs/>
          <w:sz w:val="28"/>
          <w:szCs w:val="28"/>
        </w:rPr>
        <w:t xml:space="preserve"> (LDDs)</w:t>
      </w:r>
    </w:p>
    <w:p w:rsidR="00021648" w:rsidP="7568F8A7" w:rsidRDefault="00021648" w14:paraId="53AA38AC" w14:textId="53623CB3">
      <w:pPr>
        <w:spacing w:after="0"/>
        <w:rPr>
          <w:b w:val="1"/>
          <w:bCs w:val="1"/>
        </w:rPr>
      </w:pPr>
      <w:r w:rsidR="552CD399">
        <w:rPr/>
        <w:t>Local Development Districts (LDDs) are multi-jurisdictional, locally based community organizations that facilitate economic</w:t>
      </w:r>
      <w:r w:rsidR="552CD399">
        <w:rPr/>
        <w:t xml:space="preserve"> development and support ARC-funded initiatives. LDDs </w:t>
      </w:r>
      <w:r w:rsidR="2E50EADD">
        <w:rPr/>
        <w:t xml:space="preserve">are often </w:t>
      </w:r>
      <w:r w:rsidR="552CD399">
        <w:rPr/>
        <w:t>known locally by a variety of different names such as “Councils of Government” (COGs), “Planning and Development Districts” (PDDs), “Area Development Districts” (ADDs), or “Regional Planning Councils” (RPCs)</w:t>
      </w:r>
      <w:r w:rsidR="69FFA022">
        <w:rPr/>
        <w:t>, but</w:t>
      </w:r>
      <w:r w:rsidR="552CD399">
        <w:rPr/>
        <w:t xml:space="preserve"> are collectively referred to as LDDs. Within the ARC service area, 74 LDDs support and foster intergovernmental collaboration, provide grant writing support and technical assistance to other local organizations in their regions, facilitate project implementation, and play important roles in administering federal, state, and local programs. Guided by local leaders, elected officials, small business and private sector representatives, and other community stakeholders, </w:t>
      </w:r>
      <w:r w:rsidRPr="7568F8A7" w:rsidR="552CD399">
        <w:rPr>
          <w:b w:val="1"/>
          <w:bCs w:val="1"/>
        </w:rPr>
        <w:t xml:space="preserve">ARC relies on LDDs to </w:t>
      </w:r>
      <w:r w:rsidRPr="7568F8A7" w:rsidR="552CD399">
        <w:rPr>
          <w:b w:val="1"/>
          <w:bCs w:val="1"/>
        </w:rPr>
        <w:t>lead local partnerships</w:t>
      </w:r>
      <w:r w:rsidRPr="7568F8A7" w:rsidR="05DE22AD">
        <w:rPr>
          <w:b w:val="1"/>
          <w:bCs w:val="1"/>
        </w:rPr>
        <w:t>, to</w:t>
      </w:r>
      <w:r w:rsidRPr="7568F8A7" w:rsidR="05DE22AD">
        <w:rPr>
          <w:b w:val="1"/>
          <w:bCs w:val="1"/>
        </w:rPr>
        <w:t xml:space="preserve"> administer ARC project funding, and to </w:t>
      </w:r>
      <w:r w:rsidRPr="7568F8A7" w:rsidR="3E2CBC59">
        <w:rPr>
          <w:b w:val="1"/>
          <w:bCs w:val="1"/>
        </w:rPr>
        <w:t xml:space="preserve">help other </w:t>
      </w:r>
      <w:r w:rsidRPr="7568F8A7" w:rsidR="05DE22AD">
        <w:rPr>
          <w:b w:val="1"/>
          <w:bCs w:val="1"/>
        </w:rPr>
        <w:t>local organizations applying for ARC grant funding.</w:t>
      </w:r>
    </w:p>
    <w:p w:rsidR="0006396C" w:rsidP="001C37F2" w:rsidRDefault="0006396C" w14:paraId="464F979F" w14:textId="77777777">
      <w:pPr>
        <w:spacing w:after="0"/>
      </w:pPr>
    </w:p>
    <w:p w:rsidRPr="000373C0" w:rsidR="000373C0" w:rsidP="7568F8A7" w:rsidRDefault="000373C0" w14:paraId="67343F04" w14:textId="76E2025F">
      <w:pPr>
        <w:spacing w:after="0"/>
        <w:rPr>
          <w:rFonts w:cs="Calibri" w:cstheme="minorAscii"/>
          <w:b w:val="1"/>
          <w:bCs w:val="1"/>
          <w:sz w:val="28"/>
          <w:szCs w:val="28"/>
        </w:rPr>
      </w:pPr>
      <w:r w:rsidRPr="7568F8A7" w:rsidR="35044717">
        <w:rPr>
          <w:rFonts w:cs="Calibri" w:cstheme="minorAscii"/>
          <w:b w:val="1"/>
          <w:bCs w:val="1"/>
          <w:sz w:val="28"/>
          <w:szCs w:val="28"/>
        </w:rPr>
        <w:t>About NADO</w:t>
      </w:r>
    </w:p>
    <w:p w:rsidRPr="000373C0" w:rsidR="000373C0" w:rsidP="7568F8A7" w:rsidRDefault="000373C0" w14:paraId="0EED8051" w14:textId="6B241F8C">
      <w:pPr>
        <w:spacing w:after="0"/>
        <w:rPr>
          <w:rFonts w:cs="Calibri" w:cstheme="minorAscii"/>
          <w:b w:val="1"/>
          <w:bCs w:val="1"/>
          <w:sz w:val="28"/>
          <w:szCs w:val="28"/>
        </w:rPr>
      </w:pPr>
      <w:r w:rsidRPr="7568F8A7" w:rsidR="35044717">
        <w:rPr>
          <w:rFonts w:cs="Calibri" w:cstheme="minorAscii"/>
        </w:rPr>
        <w:t>The National Association of Development Organizations (NADO) advocates for the national network of Regional Development Organizations (RDOs) across the country, including the Local Development Districts within the ARC Region.</w:t>
      </w:r>
    </w:p>
    <w:p w:rsidRPr="000373C0" w:rsidR="000373C0" w:rsidP="7568F8A7" w:rsidRDefault="000373C0" w14:paraId="0BC585EB" w14:textId="4438B2A0">
      <w:pPr>
        <w:pStyle w:val="Normal"/>
        <w:spacing w:after="0"/>
        <w:rPr>
          <w:rFonts w:cs="Calibri" w:cstheme="minorAscii"/>
          <w:b w:val="1"/>
          <w:bCs w:val="1"/>
          <w:sz w:val="28"/>
          <w:szCs w:val="28"/>
        </w:rPr>
      </w:pPr>
    </w:p>
    <w:p w:rsidRPr="00507944" w:rsidR="00507944" w:rsidP="00E52254" w:rsidRDefault="00507944" w14:paraId="2BAAC49E" w14:textId="726B5E01">
      <w:pPr>
        <w:spacing w:after="0"/>
        <w:rPr>
          <w:rFonts w:cstheme="minorHAnsi"/>
          <w:b/>
          <w:bCs/>
          <w:sz w:val="28"/>
          <w:szCs w:val="28"/>
        </w:rPr>
      </w:pPr>
      <w:r w:rsidRPr="00507944">
        <w:rPr>
          <w:rFonts w:cstheme="minorHAnsi"/>
          <w:b/>
          <w:bCs/>
          <w:sz w:val="28"/>
          <w:szCs w:val="28"/>
        </w:rPr>
        <w:t xml:space="preserve">About </w:t>
      </w:r>
      <w:r w:rsidR="000373C0">
        <w:rPr>
          <w:rFonts w:cstheme="minorHAnsi"/>
          <w:b/>
          <w:bCs/>
          <w:sz w:val="28"/>
          <w:szCs w:val="28"/>
        </w:rPr>
        <w:t>DDAA</w:t>
      </w:r>
    </w:p>
    <w:p w:rsidR="00507944" w:rsidP="00E52254" w:rsidRDefault="00507944" w14:paraId="54279FE8" w14:textId="2E52CA62">
      <w:pPr>
        <w:spacing w:after="0"/>
        <w:rPr>
          <w:rFonts w:cstheme="minorHAnsi"/>
        </w:rPr>
      </w:pPr>
      <w:r w:rsidRPr="00507944">
        <w:rPr>
          <w:rFonts w:cstheme="minorHAnsi"/>
        </w:rPr>
        <w:t>The Development District Association of Appalachia (DDAA) is a membership organization of the 7</w:t>
      </w:r>
      <w:r>
        <w:rPr>
          <w:rFonts w:cstheme="minorHAnsi"/>
        </w:rPr>
        <w:t>4</w:t>
      </w:r>
      <w:r w:rsidRPr="00507944">
        <w:rPr>
          <w:rFonts w:cstheme="minorHAnsi"/>
        </w:rPr>
        <w:t xml:space="preserve"> Local Development Districts (LDDs) serving the Appalachia Region.</w:t>
      </w:r>
      <w:r>
        <w:rPr>
          <w:rFonts w:cstheme="minorHAnsi"/>
        </w:rPr>
        <w:t xml:space="preserve"> </w:t>
      </w:r>
      <w:r w:rsidRPr="00507944">
        <w:rPr>
          <w:rFonts w:cstheme="minorHAnsi"/>
        </w:rPr>
        <w:t>DDAA works to</w:t>
      </w:r>
      <w:r>
        <w:rPr>
          <w:rFonts w:cstheme="minorHAnsi"/>
        </w:rPr>
        <w:t xml:space="preserve"> align and</w:t>
      </w:r>
      <w:r w:rsidRPr="00507944">
        <w:rPr>
          <w:rFonts w:cstheme="minorHAnsi"/>
        </w:rPr>
        <w:t xml:space="preserve"> strengthen LDDs </w:t>
      </w:r>
      <w:r>
        <w:rPr>
          <w:rFonts w:cstheme="minorHAnsi"/>
        </w:rPr>
        <w:t>as they</w:t>
      </w:r>
      <w:r w:rsidRPr="00507944">
        <w:rPr>
          <w:rFonts w:cstheme="minorHAnsi"/>
        </w:rPr>
        <w:t xml:space="preserve"> provide support </w:t>
      </w:r>
      <w:r>
        <w:rPr>
          <w:rFonts w:cstheme="minorHAnsi"/>
        </w:rPr>
        <w:t xml:space="preserve">to </w:t>
      </w:r>
      <w:r w:rsidRPr="00507944">
        <w:rPr>
          <w:rFonts w:cstheme="minorHAnsi"/>
        </w:rPr>
        <w:t>the Appalachian Regional Commission</w:t>
      </w:r>
      <w:r w:rsidR="000373C0">
        <w:rPr>
          <w:rFonts w:cstheme="minorHAnsi"/>
        </w:rPr>
        <w:t xml:space="preserve">. </w:t>
      </w:r>
    </w:p>
    <w:p w:rsidR="000373C0" w:rsidP="00E52254" w:rsidRDefault="000373C0" w14:paraId="638821B9" w14:textId="7882A895">
      <w:pPr>
        <w:spacing w:after="0"/>
        <w:rPr>
          <w:rFonts w:cstheme="minorHAnsi"/>
        </w:rPr>
      </w:pPr>
    </w:p>
    <w:p w:rsidR="000373C0" w:rsidP="000373C0" w:rsidRDefault="000373C0" w14:paraId="20BA696D" w14:textId="208EDDEF">
      <w:pPr>
        <w:spacing w:after="0"/>
        <w:rPr>
          <w:rFonts w:cstheme="minorHAnsi"/>
          <w:b/>
          <w:bCs/>
          <w:sz w:val="28"/>
          <w:szCs w:val="28"/>
        </w:rPr>
      </w:pPr>
      <w:r>
        <w:rPr>
          <w:rFonts w:cstheme="minorHAnsi"/>
          <w:b/>
          <w:bCs/>
          <w:sz w:val="28"/>
          <w:szCs w:val="28"/>
        </w:rPr>
        <w:t>Contact</w:t>
      </w:r>
      <w:r w:rsidR="00441C35">
        <w:rPr>
          <w:rFonts w:cstheme="minorHAnsi"/>
          <w:b/>
          <w:bCs/>
          <w:sz w:val="28"/>
          <w:szCs w:val="28"/>
        </w:rPr>
        <w:t xml:space="preserve"> </w:t>
      </w:r>
    </w:p>
    <w:p w:rsidR="000373C0" w:rsidP="000373C0" w:rsidRDefault="000373C0" w14:paraId="2A6B3B30" w14:textId="509C9C9A">
      <w:pPr>
        <w:spacing w:after="0"/>
        <w:rPr>
          <w:rFonts w:cstheme="minorHAnsi"/>
        </w:rPr>
      </w:pPr>
      <w:r w:rsidRPr="004F6546">
        <w:rPr>
          <w:rFonts w:cstheme="minorHAnsi"/>
        </w:rPr>
        <w:t>For more information</w:t>
      </w:r>
      <w:r w:rsidR="00441C35">
        <w:rPr>
          <w:rFonts w:cstheme="minorHAnsi"/>
        </w:rPr>
        <w:t>, p</w:t>
      </w:r>
      <w:r w:rsidRPr="004F6546">
        <w:rPr>
          <w:rFonts w:cstheme="minorHAnsi"/>
        </w:rPr>
        <w:t>lease contact Mirielle Burgoyne,</w:t>
      </w:r>
      <w:r w:rsidR="00441C35">
        <w:rPr>
          <w:rFonts w:cstheme="minorHAnsi"/>
        </w:rPr>
        <w:t xml:space="preserve"> NADO’s </w:t>
      </w:r>
      <w:r w:rsidRPr="004F6546">
        <w:rPr>
          <w:rFonts w:cstheme="minorHAnsi"/>
        </w:rPr>
        <w:t>Director of Government Relations</w:t>
      </w:r>
      <w:r w:rsidR="00441C35">
        <w:rPr>
          <w:rFonts w:cstheme="minorHAnsi"/>
        </w:rPr>
        <w:t>,</w:t>
      </w:r>
      <w:r>
        <w:rPr>
          <w:rFonts w:cstheme="minorHAnsi"/>
        </w:rPr>
        <w:t xml:space="preserve"> </w:t>
      </w:r>
      <w:r w:rsidRPr="004F6546">
        <w:rPr>
          <w:rFonts w:cstheme="minorHAnsi"/>
        </w:rPr>
        <w:t xml:space="preserve">at </w:t>
      </w:r>
      <w:hyperlink w:history="1" r:id="rId11">
        <w:r w:rsidRPr="008B392E">
          <w:rPr>
            <w:rStyle w:val="Hyperlink"/>
            <w:rFonts w:cstheme="minorHAnsi"/>
          </w:rPr>
          <w:t>mburgoyne@nado.org</w:t>
        </w:r>
      </w:hyperlink>
      <w:r w:rsidRPr="004F6546">
        <w:rPr>
          <w:rFonts w:cstheme="minorHAnsi"/>
        </w:rPr>
        <w:t xml:space="preserve"> </w:t>
      </w:r>
    </w:p>
    <w:p w:rsidR="000373C0" w:rsidP="00E52254" w:rsidRDefault="000373C0" w14:paraId="478A53B7" w14:textId="77777777">
      <w:pPr>
        <w:spacing w:after="0"/>
        <w:rPr>
          <w:rFonts w:cstheme="minorHAnsi"/>
        </w:rPr>
      </w:pPr>
    </w:p>
    <w:p w:rsidRPr="00E52254" w:rsidR="00D94C25" w:rsidP="00E52254" w:rsidRDefault="00D94C25" w14:paraId="6BF819A8" w14:textId="18FE37F9">
      <w:pPr>
        <w:spacing w:after="0"/>
        <w:rPr>
          <w:rFonts w:cstheme="minorHAnsi"/>
        </w:rPr>
      </w:pPr>
    </w:p>
    <w:sectPr w:rsidRPr="00E52254" w:rsidR="00D94C25" w:rsidSect="004B1F5F">
      <w:footerReference w:type="default" r:id="rId12"/>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E3038" w:rsidP="00126B40" w:rsidRDefault="009E3038" w14:paraId="545C4E46" w14:textId="77777777">
      <w:pPr>
        <w:spacing w:after="0" w:line="240" w:lineRule="auto"/>
      </w:pPr>
      <w:r>
        <w:separator/>
      </w:r>
    </w:p>
  </w:endnote>
  <w:endnote w:type="continuationSeparator" w:id="0">
    <w:p w:rsidR="009E3038" w:rsidP="00126B40" w:rsidRDefault="009E3038" w14:paraId="7D55D4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6152C" w:rsidRDefault="00F76FFB" w14:paraId="6E21033E" w14:textId="7777777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E3038" w:rsidP="00126B40" w:rsidRDefault="009E3038" w14:paraId="01016FE6" w14:textId="77777777">
      <w:pPr>
        <w:spacing w:after="0" w:line="240" w:lineRule="auto"/>
      </w:pPr>
      <w:r>
        <w:separator/>
      </w:r>
    </w:p>
  </w:footnote>
  <w:footnote w:type="continuationSeparator" w:id="0">
    <w:p w:rsidR="009E3038" w:rsidP="00126B40" w:rsidRDefault="009E3038" w14:paraId="23E55EC2" w14:textId="77777777">
      <w:pPr>
        <w:spacing w:after="0" w:line="240" w:lineRule="auto"/>
      </w:pPr>
      <w:r>
        <w:continuationSeparator/>
      </w:r>
    </w:p>
  </w:footnote>
  <w:footnote w:id="14896">
    <w:p w:rsidR="7568F8A7" w:rsidP="7568F8A7" w:rsidRDefault="7568F8A7" w14:paraId="4C978DDE" w14:textId="0E4DCC36">
      <w:pPr>
        <w:pStyle w:val="FootnoteText"/>
      </w:pPr>
      <w:r w:rsidRPr="7568F8A7">
        <w:rPr>
          <w:rStyle w:val="FootnoteReference"/>
        </w:rPr>
        <w:footnoteRef/>
      </w:r>
      <w:r w:rsidR="7568F8A7">
        <w:rPr/>
        <w:t xml:space="preserve"> The amount that each individual LDD receives varies.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
    <w:nsid w:val="cc849b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3fdf17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44966A20"/>
    <w:multiLevelType w:val="multilevel"/>
    <w:tmpl w:val="48706C5E"/>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start w:val="1"/>
      <w:numFmt w:val="bullet"/>
      <w:lvlText w:val=""/>
      <w:lvlJc w:val="left"/>
      <w:pPr>
        <w:tabs>
          <w:tab w:val="num" w:pos="2880"/>
        </w:tabs>
        <w:ind w:left="2880" w:hanging="360"/>
      </w:pPr>
      <w:rPr>
        <w:rFonts w:hint="default" w:ascii="Symbol" w:hAnsi="Symbol"/>
        <w:sz w:val="20"/>
      </w:rPr>
    </w:lvl>
    <w:lvl w:ilvl="4">
      <w:start w:val="1"/>
      <w:numFmt w:val="bullet"/>
      <w:lvlText w:val=""/>
      <w:lvlJc w:val="left"/>
      <w:pPr>
        <w:tabs>
          <w:tab w:val="num" w:pos="3600"/>
        </w:tabs>
        <w:ind w:left="3600" w:hanging="360"/>
      </w:pPr>
      <w:rPr>
        <w:rFonts w:hint="default" w:ascii="Symbol" w:hAnsi="Symbol"/>
        <w:sz w:val="20"/>
      </w:rPr>
    </w:lvl>
    <w:lvl w:ilvl="5">
      <w:start w:val="1"/>
      <w:numFmt w:val="bullet"/>
      <w:lvlText w:val=""/>
      <w:lvlJc w:val="left"/>
      <w:pPr>
        <w:tabs>
          <w:tab w:val="num" w:pos="4320"/>
        </w:tabs>
        <w:ind w:left="4320" w:hanging="360"/>
      </w:pPr>
      <w:rPr>
        <w:rFonts w:hint="default" w:ascii="Symbol" w:hAnsi="Symbol"/>
        <w:sz w:val="20"/>
      </w:rPr>
    </w:lvl>
    <w:lvl w:ilvl="6">
      <w:start w:val="1"/>
      <w:numFmt w:val="bullet"/>
      <w:lvlText w:val=""/>
      <w:lvlJc w:val="left"/>
      <w:pPr>
        <w:tabs>
          <w:tab w:val="num" w:pos="5040"/>
        </w:tabs>
        <w:ind w:left="5040" w:hanging="360"/>
      </w:pPr>
      <w:rPr>
        <w:rFonts w:hint="default" w:ascii="Symbol" w:hAnsi="Symbol"/>
        <w:sz w:val="20"/>
      </w:rPr>
    </w:lvl>
    <w:lvl w:ilvl="7">
      <w:start w:val="1"/>
      <w:numFmt w:val="bullet"/>
      <w:lvlText w:val=""/>
      <w:lvlJc w:val="left"/>
      <w:pPr>
        <w:tabs>
          <w:tab w:val="num" w:pos="5760"/>
        </w:tabs>
        <w:ind w:left="5760" w:hanging="360"/>
      </w:pPr>
      <w:rPr>
        <w:rFonts w:hint="default" w:ascii="Symbol" w:hAnsi="Symbol"/>
        <w:sz w:val="20"/>
      </w:rPr>
    </w:lvl>
    <w:lvl w:ilvl="8">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7026356B"/>
    <w:multiLevelType w:val="multilevel"/>
    <w:tmpl w:val="0A0E3E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4">
    <w:abstractNumId w:val="3"/>
  </w:num>
  <w:num w:numId="3">
    <w:abstractNumId w:val="2"/>
  </w:num>
  <w:num w:numId="1" w16cid:durableId="1430391696">
    <w:abstractNumId w:val="1"/>
  </w:num>
  <w:num w:numId="2" w16cid:durableId="17193533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BF"/>
    <w:rsid w:val="00021648"/>
    <w:rsid w:val="000373C0"/>
    <w:rsid w:val="00042565"/>
    <w:rsid w:val="00054F6F"/>
    <w:rsid w:val="0006396C"/>
    <w:rsid w:val="00082F77"/>
    <w:rsid w:val="00105180"/>
    <w:rsid w:val="00126B40"/>
    <w:rsid w:val="00160E5C"/>
    <w:rsid w:val="00170891"/>
    <w:rsid w:val="001C37F2"/>
    <w:rsid w:val="001C4533"/>
    <w:rsid w:val="001E78C9"/>
    <w:rsid w:val="002A0930"/>
    <w:rsid w:val="002F02AC"/>
    <w:rsid w:val="002F15DE"/>
    <w:rsid w:val="003A18CD"/>
    <w:rsid w:val="003F0F08"/>
    <w:rsid w:val="00406EBF"/>
    <w:rsid w:val="00441C35"/>
    <w:rsid w:val="004442CA"/>
    <w:rsid w:val="00444577"/>
    <w:rsid w:val="004A65AF"/>
    <w:rsid w:val="004B1F5F"/>
    <w:rsid w:val="004C2420"/>
    <w:rsid w:val="004F0404"/>
    <w:rsid w:val="004F6546"/>
    <w:rsid w:val="00507944"/>
    <w:rsid w:val="00543428"/>
    <w:rsid w:val="0056173E"/>
    <w:rsid w:val="00595187"/>
    <w:rsid w:val="005C4FAD"/>
    <w:rsid w:val="005C7678"/>
    <w:rsid w:val="0060795A"/>
    <w:rsid w:val="00613A19"/>
    <w:rsid w:val="00641212"/>
    <w:rsid w:val="00646428"/>
    <w:rsid w:val="006A5869"/>
    <w:rsid w:val="007339DB"/>
    <w:rsid w:val="00755DBA"/>
    <w:rsid w:val="007B6293"/>
    <w:rsid w:val="007D7AED"/>
    <w:rsid w:val="00825C76"/>
    <w:rsid w:val="00831481"/>
    <w:rsid w:val="00835A62"/>
    <w:rsid w:val="00836D2E"/>
    <w:rsid w:val="0086559B"/>
    <w:rsid w:val="00883BE4"/>
    <w:rsid w:val="008D7990"/>
    <w:rsid w:val="00935947"/>
    <w:rsid w:val="009C74D0"/>
    <w:rsid w:val="009D7A82"/>
    <w:rsid w:val="009E28EF"/>
    <w:rsid w:val="009E3038"/>
    <w:rsid w:val="009E5684"/>
    <w:rsid w:val="009F3023"/>
    <w:rsid w:val="00A40C08"/>
    <w:rsid w:val="00A5295E"/>
    <w:rsid w:val="00A717EA"/>
    <w:rsid w:val="00AE6456"/>
    <w:rsid w:val="00B53B8C"/>
    <w:rsid w:val="00B6152C"/>
    <w:rsid w:val="00BB3D0F"/>
    <w:rsid w:val="00BD7821"/>
    <w:rsid w:val="00C2178D"/>
    <w:rsid w:val="00C22772"/>
    <w:rsid w:val="00C552D5"/>
    <w:rsid w:val="00C85770"/>
    <w:rsid w:val="00CA3174"/>
    <w:rsid w:val="00CC2397"/>
    <w:rsid w:val="00CC7347"/>
    <w:rsid w:val="00D854E5"/>
    <w:rsid w:val="00D94C25"/>
    <w:rsid w:val="00DA78DF"/>
    <w:rsid w:val="00E2073F"/>
    <w:rsid w:val="00E26586"/>
    <w:rsid w:val="00E27B66"/>
    <w:rsid w:val="00E41A31"/>
    <w:rsid w:val="00E52254"/>
    <w:rsid w:val="00E67B21"/>
    <w:rsid w:val="00E759EB"/>
    <w:rsid w:val="00E760A5"/>
    <w:rsid w:val="00EF0186"/>
    <w:rsid w:val="00F02DAF"/>
    <w:rsid w:val="00F1653A"/>
    <w:rsid w:val="00F27802"/>
    <w:rsid w:val="00F3720A"/>
    <w:rsid w:val="00F7286B"/>
    <w:rsid w:val="00F7592E"/>
    <w:rsid w:val="00F76FFB"/>
    <w:rsid w:val="00FE3F38"/>
    <w:rsid w:val="01ED8B84"/>
    <w:rsid w:val="04086933"/>
    <w:rsid w:val="05DD5541"/>
    <w:rsid w:val="05DE22AD"/>
    <w:rsid w:val="068D86B0"/>
    <w:rsid w:val="071111E7"/>
    <w:rsid w:val="08ACE248"/>
    <w:rsid w:val="08F13E7D"/>
    <w:rsid w:val="0AB9D334"/>
    <w:rsid w:val="0B2D282B"/>
    <w:rsid w:val="0D303E2B"/>
    <w:rsid w:val="0F1C23CC"/>
    <w:rsid w:val="0FAC38A8"/>
    <w:rsid w:val="0FE76066"/>
    <w:rsid w:val="1203AF4E"/>
    <w:rsid w:val="13707FB1"/>
    <w:rsid w:val="139F7FAF"/>
    <w:rsid w:val="153B5010"/>
    <w:rsid w:val="16B21AEF"/>
    <w:rsid w:val="172D2DE9"/>
    <w:rsid w:val="1740854C"/>
    <w:rsid w:val="18D39A7C"/>
    <w:rsid w:val="18DF27A7"/>
    <w:rsid w:val="1B112397"/>
    <w:rsid w:val="1B5201AA"/>
    <w:rsid w:val="1B529966"/>
    <w:rsid w:val="1D35A74E"/>
    <w:rsid w:val="1E7F25B3"/>
    <w:rsid w:val="1EE23256"/>
    <w:rsid w:val="1FD39B8A"/>
    <w:rsid w:val="20761531"/>
    <w:rsid w:val="207E02B7"/>
    <w:rsid w:val="20D8B533"/>
    <w:rsid w:val="2169D824"/>
    <w:rsid w:val="253A681D"/>
    <w:rsid w:val="26AE9BA8"/>
    <w:rsid w:val="27BDBBA4"/>
    <w:rsid w:val="2800E32B"/>
    <w:rsid w:val="2963AF32"/>
    <w:rsid w:val="29CC7ECC"/>
    <w:rsid w:val="2A24E4FD"/>
    <w:rsid w:val="2A3C99E7"/>
    <w:rsid w:val="2B5F2270"/>
    <w:rsid w:val="2BC0B55E"/>
    <w:rsid w:val="2CBBFCDC"/>
    <w:rsid w:val="2D9FEB06"/>
    <w:rsid w:val="2E50EADD"/>
    <w:rsid w:val="308F0E5D"/>
    <w:rsid w:val="30942681"/>
    <w:rsid w:val="30FDBE2D"/>
    <w:rsid w:val="31236525"/>
    <w:rsid w:val="316646A3"/>
    <w:rsid w:val="3373F653"/>
    <w:rsid w:val="35007860"/>
    <w:rsid w:val="35044717"/>
    <w:rsid w:val="35D8E7E8"/>
    <w:rsid w:val="37036805"/>
    <w:rsid w:val="394BC4E8"/>
    <w:rsid w:val="39D1D5C2"/>
    <w:rsid w:val="3AFF9C29"/>
    <w:rsid w:val="3D61A048"/>
    <w:rsid w:val="3D8C0E54"/>
    <w:rsid w:val="3E2CBC59"/>
    <w:rsid w:val="3F410712"/>
    <w:rsid w:val="3F8A7B52"/>
    <w:rsid w:val="4105B12A"/>
    <w:rsid w:val="41BF1CB0"/>
    <w:rsid w:val="426F1B94"/>
    <w:rsid w:val="42EB5138"/>
    <w:rsid w:val="4365CB6F"/>
    <w:rsid w:val="47F42665"/>
    <w:rsid w:val="481B3ACB"/>
    <w:rsid w:val="48450EA9"/>
    <w:rsid w:val="4F9191D9"/>
    <w:rsid w:val="526447E8"/>
    <w:rsid w:val="54E5BBB2"/>
    <w:rsid w:val="552CD399"/>
    <w:rsid w:val="56A66B0B"/>
    <w:rsid w:val="57742B91"/>
    <w:rsid w:val="5794C9E9"/>
    <w:rsid w:val="5A6F7A4F"/>
    <w:rsid w:val="5B3E2091"/>
    <w:rsid w:val="5D250F26"/>
    <w:rsid w:val="5DC0436E"/>
    <w:rsid w:val="5E7EDA84"/>
    <w:rsid w:val="5F1858ED"/>
    <w:rsid w:val="5FA2C593"/>
    <w:rsid w:val="603808B9"/>
    <w:rsid w:val="60F7E430"/>
    <w:rsid w:val="61E6B941"/>
    <w:rsid w:val="628423AA"/>
    <w:rsid w:val="62EB0432"/>
    <w:rsid w:val="6310FA24"/>
    <w:rsid w:val="646E2E65"/>
    <w:rsid w:val="66A5EFE9"/>
    <w:rsid w:val="69FFA022"/>
    <w:rsid w:val="6A96D8F0"/>
    <w:rsid w:val="6B49FB12"/>
    <w:rsid w:val="6CADEBCE"/>
    <w:rsid w:val="6DF1F3BD"/>
    <w:rsid w:val="6E05EB67"/>
    <w:rsid w:val="6E6A9DAE"/>
    <w:rsid w:val="6E7A759D"/>
    <w:rsid w:val="6F590F3C"/>
    <w:rsid w:val="715F3569"/>
    <w:rsid w:val="7327081D"/>
    <w:rsid w:val="742C805F"/>
    <w:rsid w:val="749C9B7A"/>
    <w:rsid w:val="7568F8A7"/>
    <w:rsid w:val="75890310"/>
    <w:rsid w:val="75D7575B"/>
    <w:rsid w:val="76D4AD48"/>
    <w:rsid w:val="77642121"/>
    <w:rsid w:val="78418A37"/>
    <w:rsid w:val="78FFF182"/>
    <w:rsid w:val="79DA8C18"/>
    <w:rsid w:val="7A3A6639"/>
    <w:rsid w:val="7B8F84D6"/>
    <w:rsid w:val="7BD6369A"/>
    <w:rsid w:val="7D077136"/>
    <w:rsid w:val="7D526402"/>
    <w:rsid w:val="7E05EFCD"/>
    <w:rsid w:val="7E17E778"/>
    <w:rsid w:val="7EA1DC00"/>
    <w:rsid w:val="7F6F3306"/>
    <w:rsid w:val="7FDEB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45843"/>
  <w15:chartTrackingRefBased/>
  <w15:docId w15:val="{51E1340E-E8A0-44B4-938B-1D1E0C19E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4B1F5F"/>
  </w:style>
  <w:style w:type="paragraph" w:styleId="Heading2">
    <w:name w:val="heading 2"/>
    <w:basedOn w:val="Normal"/>
    <w:link w:val="Heading2Char"/>
    <w:uiPriority w:val="9"/>
    <w:qFormat/>
    <w:rsid w:val="008D799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06E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444577"/>
    <w:rPr>
      <w:color w:val="6B9F25" w:themeColor="hyperlink"/>
      <w:u w:val="single"/>
    </w:rPr>
  </w:style>
  <w:style w:type="character" w:styleId="UnresolvedMention">
    <w:name w:val="Unresolved Mention"/>
    <w:basedOn w:val="DefaultParagraphFont"/>
    <w:uiPriority w:val="99"/>
    <w:semiHidden/>
    <w:unhideWhenUsed/>
    <w:rsid w:val="00444577"/>
    <w:rPr>
      <w:color w:val="605E5C"/>
      <w:shd w:val="clear" w:color="auto" w:fill="E1DFDD"/>
    </w:rPr>
  </w:style>
  <w:style w:type="character" w:styleId="Heading2Char" w:customStyle="1">
    <w:name w:val="Heading 2 Char"/>
    <w:basedOn w:val="DefaultParagraphFont"/>
    <w:link w:val="Heading2"/>
    <w:uiPriority w:val="9"/>
    <w:rsid w:val="008D7990"/>
    <w:rPr>
      <w:rFonts w:ascii="Times New Roman" w:hAnsi="Times New Roman" w:eastAsia="Times New Roman" w:cs="Times New Roman"/>
      <w:b/>
      <w:bCs/>
      <w:sz w:val="36"/>
      <w:szCs w:val="36"/>
    </w:rPr>
  </w:style>
  <w:style w:type="paragraph" w:styleId="NormalWeb">
    <w:name w:val="Normal (Web)"/>
    <w:basedOn w:val="Normal"/>
    <w:uiPriority w:val="99"/>
    <w:unhideWhenUsed/>
    <w:rsid w:val="008D7990"/>
    <w:pPr>
      <w:spacing w:before="100" w:beforeAutospacing="1" w:after="100" w:afterAutospacing="1" w:line="240" w:lineRule="auto"/>
    </w:pPr>
    <w:rPr>
      <w:rFonts w:ascii="Times New Roman" w:hAnsi="Times New Roman" w:eastAsia="Times New Roman" w:cs="Times New Roman"/>
      <w:sz w:val="24"/>
      <w:szCs w:val="24"/>
    </w:rPr>
  </w:style>
  <w:style w:type="paragraph" w:styleId="FootnoteText">
    <w:name w:val="footnote text"/>
    <w:basedOn w:val="Normal"/>
    <w:link w:val="FootnoteTextChar"/>
    <w:uiPriority w:val="99"/>
    <w:semiHidden/>
    <w:unhideWhenUsed/>
    <w:rsid w:val="00126B40"/>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126B40"/>
    <w:rPr>
      <w:sz w:val="20"/>
      <w:szCs w:val="20"/>
    </w:rPr>
  </w:style>
  <w:style w:type="character" w:styleId="FootnoteReference">
    <w:name w:val="footnote reference"/>
    <w:basedOn w:val="DefaultParagraphFont"/>
    <w:uiPriority w:val="99"/>
    <w:semiHidden/>
    <w:unhideWhenUsed/>
    <w:rsid w:val="00126B40"/>
    <w:rPr>
      <w:vertAlign w:val="superscript"/>
    </w:rPr>
  </w:style>
  <w:style w:type="character" w:styleId="FollowedHyperlink">
    <w:name w:val="FollowedHyperlink"/>
    <w:basedOn w:val="DefaultParagraphFont"/>
    <w:uiPriority w:val="99"/>
    <w:semiHidden/>
    <w:unhideWhenUsed/>
    <w:rsid w:val="00D854E5"/>
    <w:rPr>
      <w:color w:val="B26B02" w:themeColor="followedHyperlink"/>
      <w:u w:val="single"/>
    </w:rPr>
  </w:style>
  <w:style w:type="paragraph" w:styleId="Header">
    <w:name w:val="header"/>
    <w:basedOn w:val="Normal"/>
    <w:link w:val="HeaderChar"/>
    <w:uiPriority w:val="99"/>
    <w:unhideWhenUsed/>
    <w:rsid w:val="004F6546"/>
    <w:pPr>
      <w:tabs>
        <w:tab w:val="center" w:pos="4680"/>
        <w:tab w:val="right" w:pos="9360"/>
      </w:tabs>
      <w:spacing w:after="0" w:line="240" w:lineRule="auto"/>
    </w:pPr>
  </w:style>
  <w:style w:type="character" w:styleId="HeaderChar" w:customStyle="1">
    <w:name w:val="Header Char"/>
    <w:basedOn w:val="DefaultParagraphFont"/>
    <w:link w:val="Header"/>
    <w:uiPriority w:val="99"/>
    <w:rsid w:val="004F6546"/>
  </w:style>
  <w:style w:type="paragraph" w:styleId="Footer">
    <w:name w:val="footer"/>
    <w:basedOn w:val="Normal"/>
    <w:link w:val="FooterChar"/>
    <w:uiPriority w:val="99"/>
    <w:unhideWhenUsed/>
    <w:rsid w:val="004F6546"/>
    <w:pPr>
      <w:tabs>
        <w:tab w:val="center" w:pos="4680"/>
        <w:tab w:val="right" w:pos="9360"/>
      </w:tabs>
      <w:spacing w:after="0" w:line="240" w:lineRule="auto"/>
    </w:pPr>
  </w:style>
  <w:style w:type="character" w:styleId="FooterChar" w:customStyle="1">
    <w:name w:val="Footer Char"/>
    <w:basedOn w:val="DefaultParagraphFont"/>
    <w:link w:val="Footer"/>
    <w:uiPriority w:val="99"/>
    <w:rsid w:val="004F6546"/>
  </w:style>
  <w:style w:type="paragraph" w:styleId="BalloonText">
    <w:name w:val="Balloon Text"/>
    <w:basedOn w:val="Normal"/>
    <w:link w:val="BalloonTextChar"/>
    <w:uiPriority w:val="99"/>
    <w:semiHidden/>
    <w:unhideWhenUsed/>
    <w:rsid w:val="00A40C08"/>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A40C0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F3720A"/>
    <w:rPr>
      <w:sz w:val="16"/>
      <w:szCs w:val="16"/>
    </w:rPr>
  </w:style>
  <w:style w:type="paragraph" w:styleId="CommentText">
    <w:name w:val="annotation text"/>
    <w:basedOn w:val="Normal"/>
    <w:link w:val="CommentTextChar"/>
    <w:uiPriority w:val="99"/>
    <w:semiHidden/>
    <w:unhideWhenUsed/>
    <w:rsid w:val="00F3720A"/>
    <w:pPr>
      <w:spacing w:line="240" w:lineRule="auto"/>
    </w:pPr>
    <w:rPr>
      <w:sz w:val="20"/>
      <w:szCs w:val="20"/>
    </w:rPr>
  </w:style>
  <w:style w:type="character" w:styleId="CommentTextChar" w:customStyle="1">
    <w:name w:val="Comment Text Char"/>
    <w:basedOn w:val="DefaultParagraphFont"/>
    <w:link w:val="CommentText"/>
    <w:uiPriority w:val="99"/>
    <w:semiHidden/>
    <w:rsid w:val="00F3720A"/>
    <w:rPr>
      <w:sz w:val="20"/>
      <w:szCs w:val="20"/>
    </w:rPr>
  </w:style>
  <w:style w:type="paragraph" w:styleId="CommentSubject">
    <w:name w:val="annotation subject"/>
    <w:basedOn w:val="CommentText"/>
    <w:next w:val="CommentText"/>
    <w:link w:val="CommentSubjectChar"/>
    <w:uiPriority w:val="99"/>
    <w:semiHidden/>
    <w:unhideWhenUsed/>
    <w:rsid w:val="00F3720A"/>
    <w:rPr>
      <w:b/>
      <w:bCs/>
    </w:rPr>
  </w:style>
  <w:style w:type="character" w:styleId="CommentSubjectChar" w:customStyle="1">
    <w:name w:val="Comment Subject Char"/>
    <w:basedOn w:val="CommentTextChar"/>
    <w:link w:val="CommentSubject"/>
    <w:uiPriority w:val="99"/>
    <w:semiHidden/>
    <w:rsid w:val="00F3720A"/>
    <w:rPr>
      <w:b/>
      <w:bCs/>
      <w:sz w:val="20"/>
      <w:szCs w:val="20"/>
    </w:rPr>
  </w:style>
  <w:style w:type="paragraph" w:styleId="Revision">
    <w:name w:val="Revision"/>
    <w:hidden/>
    <w:uiPriority w:val="99"/>
    <w:semiHidden/>
    <w:rsid w:val="00CA3174"/>
    <w:pPr>
      <w:spacing w:after="0" w:line="240" w:lineRule="auto"/>
    </w:pPr>
  </w:style>
  <w:style w:type="paragraph" w:styleId="gmail-m125023820186277322msolistparagraph" w:customStyle="1">
    <w:name w:val="gmail-m_125023820186277322msolistparagraph"/>
    <w:basedOn w:val="Normal"/>
    <w:rsid w:val="00A717EA"/>
    <w:pPr>
      <w:spacing w:before="100" w:beforeAutospacing="1" w:after="100" w:afterAutospacing="1" w:line="240" w:lineRule="auto"/>
    </w:pPr>
    <w:rPr>
      <w:rFonts w:ascii="Calibri" w:hAnsi="Calibri" w:cs="Calibri"/>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8259">
      <w:bodyDiv w:val="1"/>
      <w:marLeft w:val="0"/>
      <w:marRight w:val="0"/>
      <w:marTop w:val="0"/>
      <w:marBottom w:val="0"/>
      <w:divBdr>
        <w:top w:val="none" w:sz="0" w:space="0" w:color="auto"/>
        <w:left w:val="none" w:sz="0" w:space="0" w:color="auto"/>
        <w:bottom w:val="none" w:sz="0" w:space="0" w:color="auto"/>
        <w:right w:val="none" w:sz="0" w:space="0" w:color="auto"/>
      </w:divBdr>
    </w:div>
    <w:div w:id="474686393">
      <w:bodyDiv w:val="1"/>
      <w:marLeft w:val="0"/>
      <w:marRight w:val="0"/>
      <w:marTop w:val="0"/>
      <w:marBottom w:val="0"/>
      <w:divBdr>
        <w:top w:val="none" w:sz="0" w:space="0" w:color="auto"/>
        <w:left w:val="none" w:sz="0" w:space="0" w:color="auto"/>
        <w:bottom w:val="none" w:sz="0" w:space="0" w:color="auto"/>
        <w:right w:val="none" w:sz="0" w:space="0" w:color="auto"/>
      </w:divBdr>
    </w:div>
    <w:div w:id="507720842">
      <w:bodyDiv w:val="1"/>
      <w:marLeft w:val="0"/>
      <w:marRight w:val="0"/>
      <w:marTop w:val="0"/>
      <w:marBottom w:val="0"/>
      <w:divBdr>
        <w:top w:val="none" w:sz="0" w:space="0" w:color="auto"/>
        <w:left w:val="none" w:sz="0" w:space="0" w:color="auto"/>
        <w:bottom w:val="none" w:sz="0" w:space="0" w:color="auto"/>
        <w:right w:val="none" w:sz="0" w:space="0" w:color="auto"/>
      </w:divBdr>
    </w:div>
    <w:div w:id="757755818">
      <w:bodyDiv w:val="1"/>
      <w:marLeft w:val="0"/>
      <w:marRight w:val="0"/>
      <w:marTop w:val="0"/>
      <w:marBottom w:val="0"/>
      <w:divBdr>
        <w:top w:val="none" w:sz="0" w:space="0" w:color="auto"/>
        <w:left w:val="none" w:sz="0" w:space="0" w:color="auto"/>
        <w:bottom w:val="none" w:sz="0" w:space="0" w:color="auto"/>
        <w:right w:val="none" w:sz="0" w:space="0" w:color="auto"/>
      </w:divBdr>
    </w:div>
    <w:div w:id="1074669473">
      <w:bodyDiv w:val="1"/>
      <w:marLeft w:val="0"/>
      <w:marRight w:val="0"/>
      <w:marTop w:val="0"/>
      <w:marBottom w:val="0"/>
      <w:divBdr>
        <w:top w:val="none" w:sz="0" w:space="0" w:color="auto"/>
        <w:left w:val="none" w:sz="0" w:space="0" w:color="auto"/>
        <w:bottom w:val="none" w:sz="0" w:space="0" w:color="auto"/>
        <w:right w:val="none" w:sz="0" w:space="0" w:color="auto"/>
      </w:divBdr>
    </w:div>
    <w:div w:id="1641955582">
      <w:bodyDiv w:val="1"/>
      <w:marLeft w:val="0"/>
      <w:marRight w:val="0"/>
      <w:marTop w:val="0"/>
      <w:marBottom w:val="0"/>
      <w:divBdr>
        <w:top w:val="none" w:sz="0" w:space="0" w:color="auto"/>
        <w:left w:val="none" w:sz="0" w:space="0" w:color="auto"/>
        <w:bottom w:val="none" w:sz="0" w:space="0" w:color="auto"/>
        <w:right w:val="none" w:sz="0" w:space="0" w:color="auto"/>
      </w:divBdr>
    </w:div>
    <w:div w:id="212896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mailto:mburgoyne@nado.org" TargetMode="External" Id="rId11" /><Relationship Type="http://schemas.openxmlformats.org/officeDocument/2006/relationships/webSettings" Target="webSettings.xml" Id="rId5" /><Relationship Type="http://schemas.openxmlformats.org/officeDocument/2006/relationships/image" Target="media/image3.svg" Id="rId10" /><Relationship Type="http://schemas.openxmlformats.org/officeDocument/2006/relationships/settings" Target="settings.xml" Id="rId4" /><Relationship Type="http://schemas.openxmlformats.org/officeDocument/2006/relationships/theme" Target="theme/theme1.xml" Id="rId14" /><Relationship Type="http://schemas.openxmlformats.org/officeDocument/2006/relationships/image" Target="/media/image2.png" Id="Rc066a124b09f4110" /><Relationship Type="http://schemas.openxmlformats.org/officeDocument/2006/relationships/image" Target="/media/image3.png" Id="R94ad493953b64e30" /></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1B416-DA9E-0643-8DEA-F9FBA03FA8D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Mirielle Burgoyne</dc:creator>
  <keywords/>
  <dc:description/>
  <lastModifiedBy>Mirielle Burgoyne</lastModifiedBy>
  <revision>7</revision>
  <lastPrinted>2021-05-27T16:18:00.0000000Z</lastPrinted>
  <dcterms:created xsi:type="dcterms:W3CDTF">2022-03-09T19:51:00.0000000Z</dcterms:created>
  <dcterms:modified xsi:type="dcterms:W3CDTF">2023-02-09T17:11:51.3390148Z</dcterms:modified>
</coreProperties>
</file>