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DB" w:rsidRDefault="00086DDB" w:rsidP="00086DDB">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February 29, 2012</w:t>
      </w:r>
    </w:p>
    <w:p w:rsidR="00086DDB" w:rsidRDefault="00086DDB" w:rsidP="00086DDB">
      <w:pPr>
        <w:spacing w:line="276" w:lineRule="auto"/>
        <w:jc w:val="center"/>
        <w:rPr>
          <w:rFonts w:ascii="Times New Roman" w:hAnsi="Times New Roman" w:cs="Times New Roman"/>
          <w:sz w:val="24"/>
          <w:szCs w:val="24"/>
        </w:rPr>
      </w:pPr>
      <w:r>
        <w:rPr>
          <w:rFonts w:ascii="Times New Roman" w:hAnsi="Times New Roman" w:cs="Times New Roman"/>
          <w:sz w:val="24"/>
          <w:szCs w:val="24"/>
        </w:rPr>
        <w:t> </w:t>
      </w:r>
    </w:p>
    <w:p w:rsidR="00086DDB" w:rsidRDefault="00086DDB" w:rsidP="00086DDB">
      <w:pPr>
        <w:spacing w:line="276" w:lineRule="auto"/>
        <w:jc w:val="center"/>
        <w:rPr>
          <w:rFonts w:ascii="Times New Roman" w:hAnsi="Times New Roman" w:cs="Times New Roman"/>
          <w:sz w:val="24"/>
          <w:szCs w:val="24"/>
        </w:rPr>
      </w:pPr>
      <w:r>
        <w:rPr>
          <w:rFonts w:ascii="Times New Roman" w:hAnsi="Times New Roman" w:cs="Times New Roman"/>
          <w:b/>
          <w:bCs/>
          <w:sz w:val="28"/>
          <w:szCs w:val="28"/>
        </w:rPr>
        <w:t>Support Community Development Block Grant (CDBG) Funding</w:t>
      </w:r>
    </w:p>
    <w:p w:rsidR="00086DDB" w:rsidRDefault="00086DDB" w:rsidP="00086DDB">
      <w:pPr>
        <w:spacing w:line="276" w:lineRule="auto"/>
        <w:rPr>
          <w:rFonts w:ascii="Times New Roman" w:hAnsi="Times New Roman" w:cs="Times New Roman"/>
          <w:sz w:val="24"/>
          <w:szCs w:val="24"/>
        </w:rPr>
      </w:pPr>
      <w:r>
        <w:rPr>
          <w:rFonts w:ascii="Times New Roman" w:hAnsi="Times New Roman" w:cs="Times New Roman"/>
          <w:sz w:val="24"/>
          <w:szCs w:val="24"/>
        </w:rPr>
        <w:t> </w:t>
      </w:r>
    </w:p>
    <w:p w:rsidR="00086DDB" w:rsidRDefault="00086DDB" w:rsidP="00086DDB">
      <w:pPr>
        <w:spacing w:line="276" w:lineRule="auto"/>
        <w:jc w:val="center"/>
        <w:rPr>
          <w:rFonts w:ascii="Times New Roman" w:hAnsi="Times New Roman" w:cs="Times New Roman"/>
          <w:sz w:val="24"/>
          <w:szCs w:val="24"/>
        </w:rPr>
      </w:pPr>
      <w:r>
        <w:rPr>
          <w:rFonts w:ascii="Times New Roman" w:hAnsi="Times New Roman" w:cs="Times New Roman"/>
          <w:i/>
          <w:iCs/>
          <w:sz w:val="24"/>
          <w:szCs w:val="24"/>
        </w:rPr>
        <w:t xml:space="preserve">**This is a programmatic appropriations request**  </w:t>
      </w:r>
    </w:p>
    <w:p w:rsidR="00086DDB" w:rsidRDefault="00086DDB" w:rsidP="00086DDB">
      <w:pPr>
        <w:spacing w:line="276" w:lineRule="auto"/>
        <w:jc w:val="center"/>
        <w:rPr>
          <w:rFonts w:ascii="Times New Roman" w:hAnsi="Times New Roman" w:cs="Times New Roman"/>
          <w:sz w:val="24"/>
          <w:szCs w:val="24"/>
        </w:rPr>
      </w:pPr>
      <w:r>
        <w:rPr>
          <w:rFonts w:ascii="Times New Roman" w:hAnsi="Times New Roman" w:cs="Times New Roman"/>
          <w:i/>
          <w:iCs/>
          <w:sz w:val="24"/>
          <w:szCs w:val="24"/>
        </w:rPr>
        <w:t>Instructions will be provided for online data entry.</w:t>
      </w:r>
    </w:p>
    <w:p w:rsidR="00086DDB" w:rsidRDefault="00086DDB" w:rsidP="00086DDB">
      <w:pPr>
        <w:spacing w:line="276" w:lineRule="auto"/>
        <w:jc w:val="center"/>
        <w:rPr>
          <w:rFonts w:ascii="Times New Roman" w:hAnsi="Times New Roman" w:cs="Times New Roman"/>
          <w:sz w:val="24"/>
          <w:szCs w:val="24"/>
        </w:rPr>
      </w:pPr>
      <w:r>
        <w:rPr>
          <w:rFonts w:ascii="Times New Roman" w:hAnsi="Times New Roman" w:cs="Times New Roman"/>
          <w:i/>
          <w:iCs/>
          <w:sz w:val="24"/>
          <w:szCs w:val="24"/>
        </w:rPr>
        <w:t> </w:t>
      </w:r>
    </w:p>
    <w:p w:rsidR="00086DDB" w:rsidRDefault="00086DDB" w:rsidP="00086DDB">
      <w:pPr>
        <w:spacing w:line="276" w:lineRule="auto"/>
        <w:jc w:val="center"/>
        <w:rPr>
          <w:rFonts w:ascii="Times New Roman" w:hAnsi="Times New Roman" w:cs="Times New Roman"/>
          <w:sz w:val="24"/>
          <w:szCs w:val="24"/>
        </w:rPr>
      </w:pPr>
      <w:r>
        <w:rPr>
          <w:rFonts w:ascii="Times New Roman" w:hAnsi="Times New Roman" w:cs="Times New Roman"/>
          <w:i/>
          <w:iCs/>
          <w:color w:val="FF0000"/>
          <w:sz w:val="24"/>
          <w:szCs w:val="24"/>
        </w:rPr>
        <w:t>Deadline to Sign on is Tuesday, March 13</w:t>
      </w:r>
      <w:r>
        <w:rPr>
          <w:rFonts w:ascii="Times New Roman" w:hAnsi="Times New Roman" w:cs="Times New Roman"/>
          <w:i/>
          <w:iCs/>
          <w:color w:val="FF0000"/>
          <w:sz w:val="24"/>
          <w:szCs w:val="24"/>
          <w:vertAlign w:val="superscript"/>
        </w:rPr>
        <w:t>th</w:t>
      </w:r>
      <w:r>
        <w:rPr>
          <w:rFonts w:ascii="Times New Roman" w:hAnsi="Times New Roman" w:cs="Times New Roman"/>
          <w:i/>
          <w:iCs/>
          <w:color w:val="FF0000"/>
          <w:sz w:val="24"/>
          <w:szCs w:val="24"/>
        </w:rPr>
        <w:t xml:space="preserve"> at 5:00 p.m.</w:t>
      </w:r>
    </w:p>
    <w:p w:rsidR="00086DDB" w:rsidRDefault="00086DDB" w:rsidP="00086DDB">
      <w:pPr>
        <w:spacing w:line="276" w:lineRule="auto"/>
        <w:jc w:val="center"/>
        <w:rPr>
          <w:rFonts w:ascii="Times New Roman" w:hAnsi="Times New Roman" w:cs="Times New Roman"/>
          <w:sz w:val="24"/>
          <w:szCs w:val="24"/>
        </w:rPr>
      </w:pPr>
      <w:r>
        <w:rPr>
          <w:rFonts w:ascii="Times New Roman" w:hAnsi="Times New Roman" w:cs="Times New Roman"/>
          <w:i/>
          <w:iCs/>
          <w:color w:val="FF0000"/>
          <w:sz w:val="24"/>
          <w:szCs w:val="24"/>
        </w:rPr>
        <w:t>Deadline to Enter Submission Online is Tuesday, March 20</w:t>
      </w:r>
      <w:r>
        <w:rPr>
          <w:rFonts w:ascii="Times New Roman" w:hAnsi="Times New Roman" w:cs="Times New Roman"/>
          <w:i/>
          <w:iCs/>
          <w:color w:val="FF0000"/>
          <w:sz w:val="24"/>
          <w:szCs w:val="24"/>
          <w:vertAlign w:val="superscript"/>
        </w:rPr>
        <w:t>th</w:t>
      </w:r>
      <w:r>
        <w:rPr>
          <w:rFonts w:ascii="Times New Roman" w:hAnsi="Times New Roman" w:cs="Times New Roman"/>
          <w:i/>
          <w:iCs/>
          <w:color w:val="FF0000"/>
          <w:sz w:val="24"/>
          <w:szCs w:val="24"/>
        </w:rPr>
        <w:t xml:space="preserve"> at 5:00 p.m.</w:t>
      </w:r>
    </w:p>
    <w:p w:rsidR="00086DDB" w:rsidRDefault="00086DDB" w:rsidP="00086DDB">
      <w:pPr>
        <w:spacing w:line="276" w:lineRule="auto"/>
        <w:jc w:val="center"/>
        <w:rPr>
          <w:rFonts w:ascii="Times New Roman" w:hAnsi="Times New Roman" w:cs="Times New Roman"/>
          <w:sz w:val="24"/>
          <w:szCs w:val="24"/>
        </w:rPr>
      </w:pPr>
      <w:r>
        <w:rPr>
          <w:rFonts w:ascii="Times New Roman" w:hAnsi="Times New Roman" w:cs="Times New Roman"/>
          <w:sz w:val="24"/>
          <w:szCs w:val="24"/>
        </w:rPr>
        <w:t> </w:t>
      </w:r>
    </w:p>
    <w:p w:rsidR="00086DDB" w:rsidRDefault="00086DDB" w:rsidP="00086DDB">
      <w:pPr>
        <w:jc w:val="both"/>
      </w:pPr>
      <w:r>
        <w:rPr>
          <w:rFonts w:ascii="Times New Roman" w:hAnsi="Times New Roman" w:cs="Times New Roman"/>
          <w:sz w:val="24"/>
          <w:szCs w:val="24"/>
        </w:rPr>
        <w:t> </w:t>
      </w:r>
    </w:p>
    <w:p w:rsidR="00086DDB" w:rsidRDefault="00086DDB" w:rsidP="00086DDB">
      <w:pPr>
        <w:jc w:val="both"/>
      </w:pPr>
      <w:r>
        <w:rPr>
          <w:rFonts w:ascii="Times New Roman" w:hAnsi="Times New Roman" w:cs="Times New Roman"/>
          <w:sz w:val="24"/>
          <w:szCs w:val="24"/>
        </w:rPr>
        <w:t>Dear Colleague:</w:t>
      </w:r>
    </w:p>
    <w:p w:rsidR="00086DDB" w:rsidRDefault="00086DDB" w:rsidP="00086DDB">
      <w:pPr>
        <w:jc w:val="both"/>
      </w:pPr>
      <w:r>
        <w:rPr>
          <w:rFonts w:ascii="Times New Roman" w:hAnsi="Times New Roman" w:cs="Times New Roman"/>
          <w:sz w:val="24"/>
          <w:szCs w:val="24"/>
        </w:rPr>
        <w:t> </w:t>
      </w:r>
    </w:p>
    <w:p w:rsidR="00086DDB" w:rsidRDefault="00086DDB" w:rsidP="00086DDB">
      <w:pPr>
        <w:jc w:val="both"/>
      </w:pPr>
      <w:r>
        <w:rPr>
          <w:rFonts w:ascii="Times New Roman" w:hAnsi="Times New Roman" w:cs="Times New Roman"/>
          <w:sz w:val="24"/>
          <w:szCs w:val="24"/>
        </w:rPr>
        <w:t xml:space="preserve">I urge you to join me in sending the letter below to the Chairman and Ranking Member of the Subcommittee on </w:t>
      </w:r>
      <w:r>
        <w:rPr>
          <w:rFonts w:ascii="Times New Roman" w:hAnsi="Times New Roman" w:cs="Times New Roman"/>
          <w:b/>
          <w:bCs/>
          <w:color w:val="000000"/>
          <w:sz w:val="24"/>
          <w:szCs w:val="24"/>
        </w:rPr>
        <w:t>Transportation, Housing and Urban Development, and Related Agencies</w:t>
      </w:r>
      <w:r>
        <w:rPr>
          <w:rFonts w:ascii="Times New Roman" w:hAnsi="Times New Roman" w:cs="Times New Roman"/>
          <w:b/>
          <w:bCs/>
          <w:sz w:val="24"/>
          <w:szCs w:val="24"/>
        </w:rPr>
        <w:t xml:space="preserve"> </w:t>
      </w:r>
      <w:r>
        <w:rPr>
          <w:rFonts w:ascii="Times New Roman" w:hAnsi="Times New Roman" w:cs="Times New Roman"/>
          <w:sz w:val="24"/>
          <w:szCs w:val="24"/>
        </w:rPr>
        <w:t xml:space="preserve">requesting FY 2012 level formula funding in the amount of $3.466 billion for CDBG in fiscal year 2013.  </w:t>
      </w:r>
    </w:p>
    <w:p w:rsidR="00086DDB" w:rsidRDefault="00086DDB" w:rsidP="00086DDB">
      <w:pPr>
        <w:jc w:val="both"/>
      </w:pPr>
      <w:r>
        <w:rPr>
          <w:rFonts w:ascii="Times New Roman" w:hAnsi="Times New Roman" w:cs="Times New Roman"/>
          <w:b/>
          <w:bCs/>
          <w:color w:val="FF0000"/>
          <w:sz w:val="24"/>
          <w:szCs w:val="24"/>
        </w:rPr>
        <w:t> </w:t>
      </w:r>
    </w:p>
    <w:p w:rsidR="00086DDB" w:rsidRDefault="00086DDB" w:rsidP="00086DDB">
      <w:pPr>
        <w:jc w:val="both"/>
      </w:pPr>
      <w:r>
        <w:rPr>
          <w:rFonts w:ascii="Times New Roman" w:hAnsi="Times New Roman" w:cs="Times New Roman"/>
          <w:sz w:val="24"/>
          <w:szCs w:val="24"/>
        </w:rPr>
        <w:t xml:space="preserve">CDBG is the centerpiece of the federal government’s efforts to help more than 1200 cities, counties and states meet the needs of their low and moderate-income people and communities.  It revitalizes communities - with proven results.  CDBG helps fund a wide range of activities including housing investments, public infrastructure improvements, public services, and local economic development projects where the private market is absent. </w:t>
      </w:r>
    </w:p>
    <w:p w:rsidR="00086DDB" w:rsidRDefault="00086DDB" w:rsidP="00086DDB">
      <w:pPr>
        <w:jc w:val="both"/>
      </w:pPr>
      <w:r>
        <w:rPr>
          <w:rFonts w:ascii="Times New Roman" w:hAnsi="Times New Roman" w:cs="Times New Roman"/>
          <w:sz w:val="24"/>
          <w:szCs w:val="24"/>
        </w:rPr>
        <w:t> </w:t>
      </w:r>
    </w:p>
    <w:p w:rsidR="00086DDB" w:rsidRDefault="00086DDB" w:rsidP="00086DDB">
      <w:pPr>
        <w:jc w:val="both"/>
      </w:pPr>
      <w:r>
        <w:rPr>
          <w:rFonts w:ascii="Times New Roman" w:hAnsi="Times New Roman" w:cs="Times New Roman"/>
          <w:sz w:val="24"/>
          <w:szCs w:val="24"/>
        </w:rPr>
        <w:t xml:space="preserve">Conversely, reducing CDBG funding will severely slow down or eliminate thousands of local and state initiatives that are directly contributing to local and regional recovery. </w:t>
      </w:r>
    </w:p>
    <w:p w:rsidR="00086DDB" w:rsidRDefault="00086DDB" w:rsidP="00086DDB">
      <w:pPr>
        <w:jc w:val="both"/>
      </w:pPr>
      <w:r>
        <w:rPr>
          <w:rFonts w:ascii="Times New Roman" w:hAnsi="Times New Roman" w:cs="Times New Roman"/>
          <w:sz w:val="24"/>
          <w:szCs w:val="24"/>
        </w:rPr>
        <w:t> </w:t>
      </w:r>
    </w:p>
    <w:p w:rsidR="00086DDB" w:rsidRDefault="00086DDB" w:rsidP="00086DDB">
      <w:pPr>
        <w:jc w:val="both"/>
      </w:pPr>
      <w:r>
        <w:rPr>
          <w:rFonts w:ascii="Times New Roman" w:hAnsi="Times New Roman" w:cs="Times New Roman"/>
          <w:sz w:val="24"/>
          <w:szCs w:val="24"/>
        </w:rPr>
        <w:t>Based on the data that grantees have reported to the US Department of Housing and Urban Development over the past seven years, CDBG has:</w:t>
      </w:r>
    </w:p>
    <w:p w:rsidR="00086DDB" w:rsidRDefault="00086DDB" w:rsidP="00086DDB">
      <w:pPr>
        <w:ind w:left="72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Helped 962,489 low- and moderate-income households through single-family, owner-occupied rehabilitations, homeownership assistance, energy efficient improvements and lead-based paint abatement;</w:t>
      </w:r>
    </w:p>
    <w:p w:rsidR="00086DDB" w:rsidRDefault="00086DDB" w:rsidP="00086DDB">
      <w:pPr>
        <w:ind w:left="72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Created or retained 280,828 jobs for low- and moderate-income people through a variety of economic development activities;</w:t>
      </w:r>
    </w:p>
    <w:p w:rsidR="00086DDB" w:rsidRDefault="00086DDB" w:rsidP="00086DDB">
      <w:pPr>
        <w:ind w:left="72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Benefitted 27,092,035 low- and moderate-income households through public improvements such as the development of senior centers, child care centers and centers for people with disabilities; and</w:t>
      </w:r>
    </w:p>
    <w:p w:rsidR="00086DDB" w:rsidRDefault="00086DDB" w:rsidP="00086DDB">
      <w:pPr>
        <w:ind w:left="720"/>
      </w:pPr>
      <w:proofErr w:type="gramStart"/>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Benefitted 83,962,631 low- and moderate-income households through public services such as employment and training services, meals and other assistance to the elderly and services for abused and neglected children.</w:t>
      </w:r>
      <w:proofErr w:type="gramEnd"/>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Additionally, every $1.00 of CDBG leverages an additional $3.00 in non-CDBG funding.</w:t>
      </w:r>
    </w:p>
    <w:p w:rsidR="00086DDB" w:rsidRDefault="00086DDB" w:rsidP="00086DDB">
      <w:r>
        <w:rPr>
          <w:rFonts w:ascii="Times New Roman" w:hAnsi="Times New Roman" w:cs="Times New Roman"/>
          <w:sz w:val="24"/>
          <w:szCs w:val="24"/>
        </w:rPr>
        <w:t> </w:t>
      </w:r>
    </w:p>
    <w:p w:rsidR="00086DDB" w:rsidRDefault="00086DDB" w:rsidP="00086DDB">
      <w:pPr>
        <w:jc w:val="both"/>
      </w:pPr>
      <w:r>
        <w:rPr>
          <w:rFonts w:ascii="Times New Roman" w:hAnsi="Times New Roman" w:cs="Times New Roman"/>
          <w:sz w:val="24"/>
          <w:szCs w:val="24"/>
        </w:rPr>
        <w:lastRenderedPageBreak/>
        <w:t>This is an impressive record.  CDBG makes its way into the local economy through an extensive network of local organizations.  In this current economic climate, CDBG is a lifeline for families and communities.</w:t>
      </w:r>
    </w:p>
    <w:p w:rsidR="00086DDB" w:rsidRDefault="00086DDB" w:rsidP="00086DDB">
      <w:pPr>
        <w:jc w:val="center"/>
      </w:pPr>
      <w:r>
        <w:rPr>
          <w:rFonts w:ascii="Times New Roman" w:hAnsi="Times New Roman" w:cs="Times New Roman"/>
          <w:sz w:val="24"/>
          <w:szCs w:val="24"/>
        </w:rPr>
        <w:t>Sincerely,</w:t>
      </w:r>
    </w:p>
    <w:p w:rsidR="00086DDB" w:rsidRDefault="00086DDB" w:rsidP="00086DDB">
      <w:pPr>
        <w:jc w:val="center"/>
      </w:pPr>
      <w:r>
        <w:rPr>
          <w:rFonts w:ascii="Times New Roman" w:hAnsi="Times New Roman" w:cs="Times New Roman"/>
          <w:sz w:val="24"/>
          <w:szCs w:val="24"/>
        </w:rPr>
        <w:t> </w:t>
      </w:r>
    </w:p>
    <w:p w:rsidR="00086DDB" w:rsidRDefault="00086DDB" w:rsidP="00086DDB">
      <w:pPr>
        <w:jc w:val="center"/>
      </w:pPr>
      <w:r>
        <w:rPr>
          <w:rFonts w:ascii="Times New Roman" w:hAnsi="Times New Roman" w:cs="Times New Roman"/>
          <w:sz w:val="24"/>
          <w:szCs w:val="24"/>
        </w:rPr>
        <w:t>/s/</w:t>
      </w:r>
    </w:p>
    <w:p w:rsidR="00086DDB" w:rsidRDefault="00086DDB" w:rsidP="00086DDB">
      <w:pPr>
        <w:jc w:val="center"/>
      </w:pPr>
      <w:r>
        <w:rPr>
          <w:rFonts w:ascii="Times New Roman" w:hAnsi="Times New Roman" w:cs="Times New Roman"/>
          <w:sz w:val="24"/>
          <w:szCs w:val="24"/>
        </w:rPr>
        <w:t> </w:t>
      </w:r>
    </w:p>
    <w:p w:rsidR="00086DDB" w:rsidRDefault="00086DDB" w:rsidP="00086DDB">
      <w:pPr>
        <w:jc w:val="center"/>
      </w:pPr>
      <w:r>
        <w:rPr>
          <w:rFonts w:ascii="Times New Roman" w:hAnsi="Times New Roman" w:cs="Times New Roman"/>
          <w:sz w:val="24"/>
          <w:szCs w:val="24"/>
        </w:rPr>
        <w:t>Robert A. Brady</w:t>
      </w:r>
    </w:p>
    <w:p w:rsidR="00086DDB" w:rsidRDefault="00086DDB" w:rsidP="00086DDB">
      <w:pPr>
        <w:jc w:val="center"/>
      </w:pPr>
      <w:r>
        <w:rPr>
          <w:rFonts w:ascii="Times New Roman" w:hAnsi="Times New Roman" w:cs="Times New Roman"/>
          <w:sz w:val="24"/>
          <w:szCs w:val="24"/>
        </w:rPr>
        <w:t>Member of Congress</w:t>
      </w:r>
    </w:p>
    <w:p w:rsidR="00086DDB" w:rsidRDefault="00086DDB" w:rsidP="00086DDB">
      <w:pPr>
        <w:jc w:val="center"/>
      </w:pPr>
      <w:r>
        <w:rPr>
          <w:rFonts w:ascii="Times New Roman" w:hAnsi="Times New Roman" w:cs="Times New Roman"/>
          <w:b/>
          <w:bCs/>
          <w:color w:val="FF0000"/>
          <w:sz w:val="24"/>
          <w:szCs w:val="24"/>
        </w:rPr>
        <w:t> </w:t>
      </w:r>
    </w:p>
    <w:p w:rsidR="00086DDB" w:rsidRDefault="00086DDB" w:rsidP="00086DDB">
      <w:pPr>
        <w:jc w:val="center"/>
      </w:pPr>
      <w:r>
        <w:rPr>
          <w:rFonts w:ascii="Times New Roman" w:hAnsi="Times New Roman" w:cs="Times New Roman"/>
          <w:b/>
          <w:bCs/>
          <w:color w:val="FF0000"/>
          <w:sz w:val="24"/>
          <w:szCs w:val="24"/>
        </w:rPr>
        <w:t> </w:t>
      </w:r>
    </w:p>
    <w:p w:rsidR="00086DDB" w:rsidRDefault="00086DDB" w:rsidP="00086DDB">
      <w:pPr>
        <w:jc w:val="center"/>
      </w:pPr>
      <w:r>
        <w:rPr>
          <w:rFonts w:ascii="Times New Roman" w:hAnsi="Times New Roman" w:cs="Times New Roman"/>
          <w:b/>
          <w:bCs/>
          <w:color w:val="FF0000"/>
          <w:sz w:val="24"/>
          <w:szCs w:val="24"/>
        </w:rPr>
        <w:t> </w:t>
      </w:r>
    </w:p>
    <w:p w:rsidR="00086DDB" w:rsidRDefault="00086DDB" w:rsidP="00086DDB">
      <w:pPr>
        <w:spacing w:after="200" w:line="276" w:lineRule="auto"/>
        <w:jc w:val="center"/>
      </w:pPr>
      <w:r>
        <w:rPr>
          <w:rFonts w:ascii="Times New Roman" w:hAnsi="Times New Roman" w:cs="Times New Roman"/>
          <w:sz w:val="23"/>
          <w:szCs w:val="23"/>
        </w:rPr>
        <w:t>March XX, 2012</w:t>
      </w:r>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 xml:space="preserve">The Honorable Tom Latham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Honorable John </w:t>
      </w:r>
      <w:proofErr w:type="spellStart"/>
      <w:r>
        <w:rPr>
          <w:rFonts w:ascii="Times New Roman" w:hAnsi="Times New Roman" w:cs="Times New Roman"/>
          <w:sz w:val="24"/>
          <w:szCs w:val="24"/>
        </w:rPr>
        <w:t>Olver</w:t>
      </w:r>
      <w:proofErr w:type="spellEnd"/>
    </w:p>
    <w:p w:rsidR="00086DDB" w:rsidRDefault="00086DDB" w:rsidP="00086DDB">
      <w:r>
        <w:rPr>
          <w:rFonts w:ascii="Times New Roman" w:hAnsi="Times New Roman" w:cs="Times New Roman"/>
          <w:sz w:val="24"/>
          <w:szCs w:val="24"/>
        </w:rPr>
        <w:t>Chairman                                                                    Ranking Member</w:t>
      </w:r>
    </w:p>
    <w:p w:rsidR="00086DDB" w:rsidRDefault="00086DDB" w:rsidP="00086DDB">
      <w:r>
        <w:rPr>
          <w:rFonts w:ascii="Times New Roman" w:hAnsi="Times New Roman" w:cs="Times New Roman"/>
          <w:sz w:val="24"/>
          <w:szCs w:val="24"/>
        </w:rPr>
        <w:t>Subcommittee on Transportation,                             Subcommittee on Transportation</w:t>
      </w:r>
    </w:p>
    <w:p w:rsidR="00086DDB" w:rsidRDefault="00086DDB" w:rsidP="00086DDB">
      <w:r>
        <w:rPr>
          <w:rFonts w:ascii="Times New Roman" w:hAnsi="Times New Roman" w:cs="Times New Roman"/>
          <w:sz w:val="24"/>
          <w:szCs w:val="24"/>
        </w:rPr>
        <w:t xml:space="preserve">Housing and Urban Development,                             Housing and Urban Development, </w:t>
      </w:r>
    </w:p>
    <w:p w:rsidR="00086DDB" w:rsidRDefault="00086DDB" w:rsidP="00086DDB">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Related Agencies                                                 and Related Agencies</w:t>
      </w:r>
    </w:p>
    <w:p w:rsidR="00086DDB" w:rsidRDefault="00086DDB" w:rsidP="00086DDB">
      <w:r>
        <w:rPr>
          <w:rFonts w:ascii="Times New Roman" w:hAnsi="Times New Roman" w:cs="Times New Roman"/>
          <w:sz w:val="24"/>
          <w:szCs w:val="24"/>
        </w:rPr>
        <w:t>2358-A Rayburn House Office Building                   1016 Longworth House Office Building</w:t>
      </w:r>
    </w:p>
    <w:p w:rsidR="00086DDB" w:rsidRDefault="00086DDB" w:rsidP="00086DDB">
      <w:r>
        <w:rPr>
          <w:rFonts w:ascii="Times New Roman" w:hAnsi="Times New Roman" w:cs="Times New Roman"/>
          <w:sz w:val="24"/>
          <w:szCs w:val="24"/>
        </w:rPr>
        <w:t>Washington, DC 20515                                              Washington, DC 20515</w:t>
      </w:r>
    </w:p>
    <w:p w:rsidR="00086DDB" w:rsidRDefault="00086DDB" w:rsidP="00086DDB">
      <w:r>
        <w:rPr>
          <w:rFonts w:ascii="Times New Roman" w:hAnsi="Times New Roman" w:cs="Times New Roman"/>
          <w:sz w:val="23"/>
          <w:szCs w:val="23"/>
        </w:rPr>
        <w:t> </w:t>
      </w:r>
    </w:p>
    <w:p w:rsidR="00086DDB" w:rsidRDefault="00086DDB" w:rsidP="00086DDB">
      <w:r>
        <w:rPr>
          <w:rFonts w:ascii="Times New Roman" w:hAnsi="Times New Roman" w:cs="Times New Roman"/>
          <w:sz w:val="24"/>
          <w:szCs w:val="24"/>
        </w:rPr>
        <w:t xml:space="preserve">Dear Chairman Latham and Ranking Member </w:t>
      </w:r>
      <w:proofErr w:type="spellStart"/>
      <w:r>
        <w:rPr>
          <w:rFonts w:ascii="Times New Roman" w:hAnsi="Times New Roman" w:cs="Times New Roman"/>
          <w:sz w:val="24"/>
          <w:szCs w:val="24"/>
        </w:rPr>
        <w:t>Olver</w:t>
      </w:r>
      <w:proofErr w:type="spellEnd"/>
      <w:r>
        <w:rPr>
          <w:rFonts w:ascii="Times New Roman" w:hAnsi="Times New Roman" w:cs="Times New Roman"/>
          <w:sz w:val="24"/>
          <w:szCs w:val="24"/>
        </w:rPr>
        <w:t>:</w:t>
      </w:r>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Thank you for preserving strong funding in the House FY2012 Transportation, Housing and Urban Development Appropriations last year for the Community Development Block Grant program (CDBG).  As the subcommittee develops its FY 2013 appropriations bill, we respectfully urge you to again preserve funding for this program, one of the most effective federal programs for growing the local economy and providing a lifeline for families and communities.</w:t>
      </w:r>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Please maintain the House FY2012 level of $3.466 billion in formula funding for CDBG.  CDBG is the centerpiece of the federal government’s efforts to help more than 1,200 cities, counties and states meet the needs of their low- and moderate-income people and communities.  It revitalizes communities - with proven results.  CDBG helps fund a wide range of activities including housing investments, public infrastructure improvements, public services and local economic development projects where the private market is absent.</w:t>
      </w:r>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To ensure these funds are used effectively and efficiently, we urge the Committee to maintain the allowance of grant funds for planning, management development, and administration.  We share your commitment to the most solid use of taxpayer dollars, and find the budgetary maintenance of management grants critical to effective oversight and use of federal funds.</w:t>
      </w:r>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 xml:space="preserve">Conversely, reducing CDBG funding will severely slow down or eliminate thousands of local and state initiatives that are directly contributing to local and regional recovery.  Based on the </w:t>
      </w:r>
      <w:r>
        <w:rPr>
          <w:rFonts w:ascii="Times New Roman" w:hAnsi="Times New Roman" w:cs="Times New Roman"/>
          <w:sz w:val="24"/>
          <w:szCs w:val="24"/>
        </w:rPr>
        <w:lastRenderedPageBreak/>
        <w:t>data that grantees have reported to the US Department of Housing and Urban Development over the past seven years, CDBG has:</w:t>
      </w:r>
    </w:p>
    <w:p w:rsidR="00086DDB" w:rsidRDefault="00086DDB" w:rsidP="00086DDB">
      <w:r>
        <w:rPr>
          <w:rFonts w:ascii="Times New Roman" w:hAnsi="Times New Roman" w:cs="Times New Roman"/>
          <w:sz w:val="24"/>
          <w:szCs w:val="24"/>
        </w:rPr>
        <w:t> </w:t>
      </w:r>
    </w:p>
    <w:p w:rsidR="00086DDB" w:rsidRDefault="00086DDB" w:rsidP="00086DDB">
      <w:pPr>
        <w:ind w:left="72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Helped 962,489 low- and moderate-income households through single-family, owner-occupied rehabilitations, homeownership assistance, energy efficient improvements and lead-based paint abatement;</w:t>
      </w:r>
    </w:p>
    <w:p w:rsidR="00086DDB" w:rsidRDefault="00086DDB" w:rsidP="00086DDB">
      <w:pPr>
        <w:ind w:left="72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Created or retained 280,828 jobs for low- and moderate-income people through a variety of economic development activities;</w:t>
      </w:r>
    </w:p>
    <w:p w:rsidR="00086DDB" w:rsidRDefault="00086DDB" w:rsidP="00086DDB">
      <w:pPr>
        <w:ind w:left="72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Benefitted 27,092,035 low- and moderate-income households through public improvements such as the development of senior centers, child care centers and centers for people with disabilities; and</w:t>
      </w:r>
    </w:p>
    <w:p w:rsidR="00086DDB" w:rsidRDefault="00086DDB" w:rsidP="00086DDB">
      <w:pPr>
        <w:ind w:left="720"/>
      </w:pPr>
      <w:proofErr w:type="gramStart"/>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Benefitted 83,962,631 low- and moderate-income households through public services such as employment and training services, meals and other assistance to the elderly and services for abused and neglected children.</w:t>
      </w:r>
      <w:proofErr w:type="gramEnd"/>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Additionally, every $1.00 of CDBG leverages an additional $3.00 in non-CDBG funding.</w:t>
      </w:r>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 xml:space="preserve">This is an impressive record.  CDBG makes its way into the local economy through an extensive network of local organizations.  In this current economic climate, CDBG is a lifeline for families and communities.  For example, HUD reports that between FY2007 and FY2011, CDBG helped over 174,000 businesses expand economic opportunities for our country’s most vulnerable citizens, and over the last decade, CDBG programs have rehabilitated more than 1.4 million homes for low- and moderate-income homeowners and renters.  The pressing need in the current economy for these funds remains critical. </w:t>
      </w:r>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We appreciate your consideration of this important request and strongly urge you to maintain the THUD FY2012 level of support and investment in this proven program.</w:t>
      </w:r>
    </w:p>
    <w:p w:rsidR="00086DDB" w:rsidRDefault="00086DDB" w:rsidP="00086DDB">
      <w:r>
        <w:rPr>
          <w:rFonts w:ascii="Times New Roman" w:hAnsi="Times New Roman" w:cs="Times New Roman"/>
          <w:sz w:val="24"/>
          <w:szCs w:val="24"/>
        </w:rPr>
        <w:t> </w:t>
      </w:r>
    </w:p>
    <w:p w:rsidR="00086DDB" w:rsidRDefault="00086DDB" w:rsidP="00086DDB">
      <w:pPr>
        <w:jc w:val="center"/>
      </w:pPr>
      <w:r>
        <w:rPr>
          <w:rFonts w:ascii="Times New Roman" w:hAnsi="Times New Roman" w:cs="Times New Roman"/>
          <w:sz w:val="24"/>
          <w:szCs w:val="24"/>
        </w:rPr>
        <w:t>Sincerely,</w:t>
      </w:r>
    </w:p>
    <w:p w:rsidR="00086DDB" w:rsidRDefault="00086DDB" w:rsidP="00086DDB">
      <w:r>
        <w:rPr>
          <w:rFonts w:ascii="Times New Roman" w:hAnsi="Times New Roman" w:cs="Times New Roman"/>
          <w:sz w:val="24"/>
          <w:szCs w:val="24"/>
        </w:rPr>
        <w:t> </w:t>
      </w:r>
    </w:p>
    <w:p w:rsidR="00086DDB" w:rsidRDefault="00086DDB" w:rsidP="00086DDB">
      <w:r>
        <w:rPr>
          <w:rFonts w:ascii="Times New Roman" w:hAnsi="Times New Roman" w:cs="Times New Roman"/>
          <w:sz w:val="24"/>
          <w:szCs w:val="24"/>
        </w:rPr>
        <w:t> </w:t>
      </w:r>
    </w:p>
    <w:p w:rsidR="00086DDB" w:rsidRDefault="00086DDB" w:rsidP="00086DDB">
      <w:r>
        <w:rPr>
          <w:rFonts w:ascii="Tw Cen MT" w:hAnsi="Tw Cen MT"/>
          <w:noProof/>
          <w:color w:val="1F497D"/>
        </w:rPr>
        <w:drawing>
          <wp:inline distT="0" distB="0" distL="0" distR="0">
            <wp:extent cx="1752600" cy="960120"/>
            <wp:effectExtent l="0" t="0" r="0" b="0"/>
            <wp:docPr id="5" name="Picture 5" descr="cid:image001.jpg@01CCF87A.54140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CF87A.54140B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52600" cy="960120"/>
                    </a:xfrm>
                    <a:prstGeom prst="rect">
                      <a:avLst/>
                    </a:prstGeom>
                    <a:noFill/>
                    <a:ln>
                      <a:noFill/>
                    </a:ln>
                  </pic:spPr>
                </pic:pic>
              </a:graphicData>
            </a:graphic>
          </wp:inline>
        </w:drawing>
      </w:r>
    </w:p>
    <w:p w:rsidR="00086DDB" w:rsidRDefault="00086DDB" w:rsidP="00086DDB">
      <w:r>
        <w:rPr>
          <w:color w:val="1F497D"/>
        </w:rPr>
        <w:t xml:space="preserve">               </w:t>
      </w:r>
      <w:r>
        <w:rPr>
          <w:rFonts w:ascii="Tw Cen MT" w:hAnsi="Tw Cen MT"/>
          <w:noProof/>
          <w:color w:val="1F497D"/>
        </w:rPr>
        <w:drawing>
          <wp:inline distT="0" distB="0" distL="0" distR="0">
            <wp:extent cx="144780" cy="160020"/>
            <wp:effectExtent l="0" t="0" r="7620" b="0"/>
            <wp:docPr id="4" name="Picture 4" descr="cid:image002.jpg@01CCF87A.54140B0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CF87A.54140B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Pr>
          <w:color w:val="1F497D"/>
        </w:rPr>
        <w:t>      </w:t>
      </w:r>
      <w:r>
        <w:rPr>
          <w:noProof/>
          <w:color w:val="1F497D"/>
        </w:rPr>
        <w:drawing>
          <wp:inline distT="0" distB="0" distL="0" distR="0">
            <wp:extent cx="144780" cy="144780"/>
            <wp:effectExtent l="0" t="0" r="7620" b="7620"/>
            <wp:docPr id="3" name="Picture 3" descr="cid:image003.gif@01CCF87A.54140B0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gif@01CCF87A.54140B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color w:val="1F497D"/>
        </w:rPr>
        <w:t>      </w:t>
      </w:r>
      <w:r>
        <w:rPr>
          <w:noProof/>
          <w:color w:val="1F497D"/>
        </w:rPr>
        <w:drawing>
          <wp:inline distT="0" distB="0" distL="0" distR="0">
            <wp:extent cx="144780" cy="137160"/>
            <wp:effectExtent l="0" t="0" r="7620" b="0"/>
            <wp:docPr id="2" name="Picture 2" descr="cid:image004.gif@01CCF87A.54140B0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gif@01CCF87A.54140B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4780" cy="137160"/>
                    </a:xfrm>
                    <a:prstGeom prst="rect">
                      <a:avLst/>
                    </a:prstGeom>
                    <a:noFill/>
                    <a:ln>
                      <a:noFill/>
                    </a:ln>
                  </pic:spPr>
                </pic:pic>
              </a:graphicData>
            </a:graphic>
          </wp:inline>
        </w:drawing>
      </w:r>
      <w:r>
        <w:rPr>
          <w:color w:val="1F497D"/>
        </w:rPr>
        <w:t>      </w:t>
      </w:r>
      <w:r>
        <w:rPr>
          <w:noProof/>
          <w:color w:val="1F497D"/>
        </w:rPr>
        <w:drawing>
          <wp:inline distT="0" distB="0" distL="0" distR="0">
            <wp:extent cx="144780" cy="144780"/>
            <wp:effectExtent l="0" t="0" r="7620" b="7620"/>
            <wp:docPr id="1" name="Picture 1" descr="cid:image005.gif@01CCF87A.54140B0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gif@01CCF87A.54140B0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EC6608" w:rsidRDefault="00086DDB">
      <w:bookmarkStart w:id="0" w:name="_GoBack"/>
      <w:bookmarkEnd w:id="0"/>
    </w:p>
    <w:sectPr w:rsidR="00EC6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DB"/>
    <w:rsid w:val="00086DDB"/>
    <w:rsid w:val="006E7E9E"/>
    <w:rsid w:val="00D7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DD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DDB"/>
    <w:rPr>
      <w:rFonts w:ascii="Tahoma" w:hAnsi="Tahoma" w:cs="Tahoma"/>
      <w:sz w:val="16"/>
      <w:szCs w:val="16"/>
    </w:rPr>
  </w:style>
  <w:style w:type="character" w:customStyle="1" w:styleId="BalloonTextChar">
    <w:name w:val="Balloon Text Char"/>
    <w:basedOn w:val="DefaultParagraphFont"/>
    <w:link w:val="BalloonText"/>
    <w:uiPriority w:val="99"/>
    <w:semiHidden/>
    <w:rsid w:val="00086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DD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DDB"/>
    <w:rPr>
      <w:rFonts w:ascii="Tahoma" w:hAnsi="Tahoma" w:cs="Tahoma"/>
      <w:sz w:val="16"/>
      <w:szCs w:val="16"/>
    </w:rPr>
  </w:style>
  <w:style w:type="character" w:customStyle="1" w:styleId="BalloonTextChar">
    <w:name w:val="Balloon Text Char"/>
    <w:basedOn w:val="DefaultParagraphFont"/>
    <w:link w:val="BalloonText"/>
    <w:uiPriority w:val="99"/>
    <w:semiHidden/>
    <w:rsid w:val="00086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97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youtube.com/user/BradyPA01" TargetMode="External"/><Relationship Id="rId18" Type="http://schemas.openxmlformats.org/officeDocument/2006/relationships/image" Target="cid:image005.gif@01CCF87A.54140B00" TargetMode="External"/><Relationship Id="rId3" Type="http://schemas.openxmlformats.org/officeDocument/2006/relationships/settings" Target="settings.xml"/><Relationship Id="rId7" Type="http://schemas.openxmlformats.org/officeDocument/2006/relationships/hyperlink" Target="http://www.flickr.com/photos/congressmanbrady/" TargetMode="External"/><Relationship Id="rId12" Type="http://schemas.openxmlformats.org/officeDocument/2006/relationships/image" Target="cid:image003.gif@01CCF87A.54140B00" TargetMode="External"/><Relationship Id="rId17" Type="http://schemas.openxmlformats.org/officeDocument/2006/relationships/image" Target="media/image5.gif"/><Relationship Id="rId2" Type="http://schemas.microsoft.com/office/2007/relationships/stylesWithEffects" Target="stylesWithEffects.xml"/><Relationship Id="rId16" Type="http://schemas.openxmlformats.org/officeDocument/2006/relationships/hyperlink" Target="http://www.facebook.com/pages/Congressman-Robert-Brady/118845109487?ref=t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1.jpg@01CCF87A.54140B00" TargetMode="External"/><Relationship Id="rId11" Type="http://schemas.openxmlformats.org/officeDocument/2006/relationships/image" Target="media/image3.gif"/><Relationship Id="rId5" Type="http://schemas.openxmlformats.org/officeDocument/2006/relationships/image" Target="media/image1.jpeg"/><Relationship Id="rId15" Type="http://schemas.openxmlformats.org/officeDocument/2006/relationships/image" Target="cid:image004.gif@01CCF87A.54140B00" TargetMode="External"/><Relationship Id="rId10" Type="http://schemas.openxmlformats.org/officeDocument/2006/relationships/hyperlink" Target="http://twitter.com/RepBrad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2.jpg@01CCF87A.54140B00"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Cox</dc:creator>
  <cp:lastModifiedBy>Deborah Cox</cp:lastModifiedBy>
  <cp:revision>1</cp:revision>
  <dcterms:created xsi:type="dcterms:W3CDTF">2012-03-02T19:41:00Z</dcterms:created>
  <dcterms:modified xsi:type="dcterms:W3CDTF">2012-03-02T19:41:00Z</dcterms:modified>
</cp:coreProperties>
</file>